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920261" w14:textId="77777777" w:rsidR="00AC133A" w:rsidRDefault="00000000">
      <w:pPr>
        <w:spacing w:after="50"/>
      </w:pPr>
      <w:r>
        <w:rPr>
          <w:b/>
          <w:bCs/>
          <w:color w:val="1B3A6B"/>
          <w:sz w:val="32"/>
          <w:szCs w:val="32"/>
        </w:rPr>
        <w:t>Technology Impact Assessment Canvas</w:t>
      </w:r>
      <w:r>
        <w:rPr>
          <w:i/>
          <w:iCs/>
          <w:color w:val="1A6B6B"/>
          <w:sz w:val="22"/>
          <w:szCs w:val="22"/>
        </w:rPr>
        <w:t xml:space="preserve">  —  Worked Example</w:t>
      </w:r>
    </w:p>
    <w:p w14:paraId="6C7216C8" w14:textId="77777777" w:rsidR="00AC133A" w:rsidRDefault="00000000">
      <w:pPr>
        <w:pBdr>
          <w:bottom w:val="single" w:sz="6" w:space="4" w:color="1A6B6B"/>
        </w:pBdr>
        <w:spacing w:after="100"/>
      </w:pPr>
      <w:r>
        <w:rPr>
          <w:i/>
          <w:iCs/>
          <w:color w:val="555555"/>
          <w:sz w:val="15"/>
          <w:szCs w:val="15"/>
        </w:rPr>
        <w:t>Derived from Austin et al. (June 2025) — Technology Impact Assessment for Peace and Stability: A Comparative Study on Australia and India</w:t>
      </w:r>
    </w:p>
    <w:tbl>
      <w:tblPr>
        <w:tblW w:w="155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00"/>
        <w:gridCol w:w="11638"/>
      </w:tblGrid>
      <w:tr w:rsidR="00AC133A" w14:paraId="21B666EA" w14:textId="77777777">
        <w:tblPrEx>
          <w:tblCellMar>
            <w:top w:w="0" w:type="dxa"/>
            <w:bottom w:w="0" w:type="dxa"/>
          </w:tblCellMar>
        </w:tblPrEx>
        <w:tc>
          <w:tcPr>
            <w:tcW w:w="15538" w:type="dxa"/>
            <w:gridSpan w:val="2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A6B6B"/>
            <w:tcMar>
              <w:top w:w="55" w:type="dxa"/>
              <w:left w:w="120" w:type="dxa"/>
              <w:bottom w:w="55" w:type="dxa"/>
              <w:right w:w="120" w:type="dxa"/>
            </w:tcMar>
          </w:tcPr>
          <w:p w14:paraId="6FE0E4CC" w14:textId="77777777" w:rsidR="00AC133A" w:rsidRDefault="00000000">
            <w:pPr>
              <w:spacing w:before="30" w:after="30"/>
            </w:pPr>
            <w:r>
              <w:rPr>
                <w:b/>
                <w:bCs/>
                <w:color w:val="FFFFFF"/>
                <w:sz w:val="19"/>
                <w:szCs w:val="19"/>
              </w:rPr>
              <w:t>PART A — SCOPE    Start with the policy problem, not the technology.</w:t>
            </w:r>
          </w:p>
        </w:tc>
      </w:tr>
      <w:tr w:rsidR="00AC133A" w14:paraId="1B44A6D4" w14:textId="77777777">
        <w:tblPrEx>
          <w:tblCellMar>
            <w:top w:w="0" w:type="dxa"/>
            <w:bottom w:w="0" w:type="dxa"/>
          </w:tblCellMar>
        </w:tblPrEx>
        <w:tc>
          <w:tcPr>
            <w:tcW w:w="3900" w:type="dxa"/>
            <w:tcBorders>
              <w:top w:val="single" w:sz="4" w:space="0" w:color="D9DDE3"/>
              <w:left w:val="single" w:sz="4" w:space="0" w:color="D9DDE3"/>
              <w:bottom w:val="single" w:sz="4" w:space="0" w:color="D9DDE3"/>
              <w:right w:val="single" w:sz="4" w:space="0" w:color="D9DDE3"/>
            </w:tcBorders>
            <w:shd w:val="clear" w:color="auto" w:fill="FFFFFF"/>
            <w:tcMar>
              <w:top w:w="50" w:type="dxa"/>
              <w:left w:w="110" w:type="dxa"/>
              <w:bottom w:w="50" w:type="dxa"/>
              <w:right w:w="110" w:type="dxa"/>
            </w:tcMar>
          </w:tcPr>
          <w:p w14:paraId="6D96DBC6" w14:textId="77777777" w:rsidR="00AC133A" w:rsidRDefault="00000000">
            <w:pPr>
              <w:spacing w:before="30" w:after="30"/>
            </w:pPr>
            <w:r>
              <w:rPr>
                <w:sz w:val="16"/>
                <w:szCs w:val="16"/>
              </w:rPr>
              <w:t>Technology / sub-field being assessed</w:t>
            </w:r>
          </w:p>
        </w:tc>
        <w:tc>
          <w:tcPr>
            <w:tcW w:w="11338" w:type="dxa"/>
            <w:tcBorders>
              <w:top w:val="single" w:sz="4" w:space="0" w:color="D9DDE3"/>
              <w:left w:val="single" w:sz="4" w:space="0" w:color="D9DDE3"/>
              <w:bottom w:val="single" w:sz="4" w:space="0" w:color="D9DDE3"/>
              <w:right w:val="single" w:sz="4" w:space="0" w:color="D9DDE3"/>
            </w:tcBorders>
            <w:shd w:val="clear" w:color="auto" w:fill="FFFFFF"/>
            <w:tcMar>
              <w:top w:w="50" w:type="dxa"/>
              <w:left w:w="110" w:type="dxa"/>
              <w:bottom w:w="50" w:type="dxa"/>
              <w:right w:w="110" w:type="dxa"/>
            </w:tcMar>
          </w:tcPr>
          <w:p w14:paraId="4F7A20AF" w14:textId="77777777" w:rsidR="00AC133A" w:rsidRDefault="00000000">
            <w:pPr>
              <w:spacing w:before="30" w:after="30"/>
            </w:pPr>
            <w:r>
              <w:rPr>
                <w:sz w:val="16"/>
                <w:szCs w:val="16"/>
              </w:rPr>
              <w:t>AI-enabled facial recognition — specifically real-time biometric matching of live video feeds against a watchlist database</w:t>
            </w:r>
          </w:p>
        </w:tc>
      </w:tr>
      <w:tr w:rsidR="00AC133A" w14:paraId="38F8EA9B" w14:textId="77777777">
        <w:tblPrEx>
          <w:tblCellMar>
            <w:top w:w="0" w:type="dxa"/>
            <w:bottom w:w="0" w:type="dxa"/>
          </w:tblCellMar>
        </w:tblPrEx>
        <w:tc>
          <w:tcPr>
            <w:tcW w:w="3900" w:type="dxa"/>
            <w:tcBorders>
              <w:top w:val="single" w:sz="4" w:space="0" w:color="D9DDE3"/>
              <w:left w:val="single" w:sz="4" w:space="0" w:color="D9DDE3"/>
              <w:bottom w:val="single" w:sz="4" w:space="0" w:color="D9DDE3"/>
              <w:right w:val="single" w:sz="4" w:space="0" w:color="D9DDE3"/>
            </w:tcBorders>
            <w:shd w:val="clear" w:color="auto" w:fill="F2F4F7"/>
            <w:tcMar>
              <w:top w:w="50" w:type="dxa"/>
              <w:left w:w="110" w:type="dxa"/>
              <w:bottom w:w="50" w:type="dxa"/>
              <w:right w:w="110" w:type="dxa"/>
            </w:tcMar>
          </w:tcPr>
          <w:p w14:paraId="33C0D0E8" w14:textId="77777777" w:rsidR="00AC133A" w:rsidRDefault="00000000">
            <w:pPr>
              <w:spacing w:before="30" w:after="30"/>
            </w:pPr>
            <w:r>
              <w:rPr>
                <w:sz w:val="16"/>
                <w:szCs w:val="16"/>
              </w:rPr>
              <w:t>Specific application (not just the broad category — e.g. facial recognition, not “AI”)</w:t>
            </w:r>
          </w:p>
        </w:tc>
        <w:tc>
          <w:tcPr>
            <w:tcW w:w="11338" w:type="dxa"/>
            <w:tcBorders>
              <w:top w:val="single" w:sz="4" w:space="0" w:color="D9DDE3"/>
              <w:left w:val="single" w:sz="4" w:space="0" w:color="D9DDE3"/>
              <w:bottom w:val="single" w:sz="4" w:space="0" w:color="D9DDE3"/>
              <w:right w:val="single" w:sz="4" w:space="0" w:color="D9DDE3"/>
            </w:tcBorders>
            <w:shd w:val="clear" w:color="auto" w:fill="F2F4F7"/>
            <w:tcMar>
              <w:top w:w="50" w:type="dxa"/>
              <w:left w:w="110" w:type="dxa"/>
              <w:bottom w:w="50" w:type="dxa"/>
              <w:right w:w="110" w:type="dxa"/>
            </w:tcMar>
          </w:tcPr>
          <w:p w14:paraId="071B2F79" w14:textId="77777777" w:rsidR="00AC133A" w:rsidRDefault="00000000">
            <w:pPr>
              <w:spacing w:before="30" w:after="30"/>
            </w:pPr>
            <w:r>
              <w:rPr>
                <w:sz w:val="16"/>
                <w:szCs w:val="16"/>
              </w:rPr>
              <w:t>Automated identification of escaped prisoners and high-risk wanted persons in large crowds at airports, transport hubs and major public events</w:t>
            </w:r>
          </w:p>
        </w:tc>
      </w:tr>
      <w:tr w:rsidR="00AC133A" w14:paraId="0FC293A7" w14:textId="77777777">
        <w:tblPrEx>
          <w:tblCellMar>
            <w:top w:w="0" w:type="dxa"/>
            <w:bottom w:w="0" w:type="dxa"/>
          </w:tblCellMar>
        </w:tblPrEx>
        <w:tc>
          <w:tcPr>
            <w:tcW w:w="3900" w:type="dxa"/>
            <w:tcBorders>
              <w:top w:val="single" w:sz="4" w:space="0" w:color="D9DDE3"/>
              <w:left w:val="single" w:sz="4" w:space="0" w:color="D9DDE3"/>
              <w:bottom w:val="single" w:sz="4" w:space="0" w:color="D9DDE3"/>
              <w:right w:val="single" w:sz="4" w:space="0" w:color="D9DDE3"/>
            </w:tcBorders>
            <w:shd w:val="clear" w:color="auto" w:fill="FFFFFF"/>
            <w:tcMar>
              <w:top w:w="50" w:type="dxa"/>
              <w:left w:w="110" w:type="dxa"/>
              <w:bottom w:w="50" w:type="dxa"/>
              <w:right w:w="110" w:type="dxa"/>
            </w:tcMar>
          </w:tcPr>
          <w:p w14:paraId="404D183F" w14:textId="77777777" w:rsidR="00AC133A" w:rsidRDefault="00000000">
            <w:pPr>
              <w:spacing w:before="30" w:after="30"/>
            </w:pPr>
            <w:r>
              <w:rPr>
                <w:sz w:val="16"/>
                <w:szCs w:val="16"/>
              </w:rPr>
              <w:t>Policy problem this addresses (what peace, stability or governance challenge?)</w:t>
            </w:r>
          </w:p>
        </w:tc>
        <w:tc>
          <w:tcPr>
            <w:tcW w:w="11338" w:type="dxa"/>
            <w:tcBorders>
              <w:top w:val="single" w:sz="4" w:space="0" w:color="D9DDE3"/>
              <w:left w:val="single" w:sz="4" w:space="0" w:color="D9DDE3"/>
              <w:bottom w:val="single" w:sz="4" w:space="0" w:color="D9DDE3"/>
              <w:right w:val="single" w:sz="4" w:space="0" w:color="D9DDE3"/>
            </w:tcBorders>
            <w:shd w:val="clear" w:color="auto" w:fill="FFFFFF"/>
            <w:tcMar>
              <w:top w:w="50" w:type="dxa"/>
              <w:left w:w="110" w:type="dxa"/>
              <w:bottom w:w="50" w:type="dxa"/>
              <w:right w:w="110" w:type="dxa"/>
            </w:tcMar>
          </w:tcPr>
          <w:p w14:paraId="68A7FDDA" w14:textId="77777777" w:rsidR="00AC133A" w:rsidRDefault="00000000">
            <w:pPr>
              <w:spacing w:before="30" w:after="30"/>
            </w:pPr>
            <w:r>
              <w:rPr>
                <w:sz w:val="16"/>
                <w:szCs w:val="16"/>
              </w:rPr>
              <w:t>How can law enforcement identify serious fugitives in dense public spaces without deploying disproportionate surveillance infrastructure that erodes civil liberties and democratic rights?</w:t>
            </w:r>
          </w:p>
        </w:tc>
      </w:tr>
      <w:tr w:rsidR="00AC133A" w14:paraId="2000AF91" w14:textId="77777777">
        <w:tblPrEx>
          <w:tblCellMar>
            <w:top w:w="0" w:type="dxa"/>
            <w:bottom w:w="0" w:type="dxa"/>
          </w:tblCellMar>
        </w:tblPrEx>
        <w:tc>
          <w:tcPr>
            <w:tcW w:w="3900" w:type="dxa"/>
            <w:tcBorders>
              <w:top w:val="single" w:sz="4" w:space="0" w:color="D9DDE3"/>
              <w:left w:val="single" w:sz="4" w:space="0" w:color="D9DDE3"/>
              <w:bottom w:val="single" w:sz="4" w:space="0" w:color="D9DDE3"/>
              <w:right w:val="single" w:sz="4" w:space="0" w:color="D9DDE3"/>
            </w:tcBorders>
            <w:shd w:val="clear" w:color="auto" w:fill="F2F4F7"/>
            <w:tcMar>
              <w:top w:w="50" w:type="dxa"/>
              <w:left w:w="110" w:type="dxa"/>
              <w:bottom w:w="50" w:type="dxa"/>
              <w:right w:w="110" w:type="dxa"/>
            </w:tcMar>
          </w:tcPr>
          <w:p w14:paraId="36A72005" w14:textId="77777777" w:rsidR="00AC133A" w:rsidRDefault="00000000">
            <w:pPr>
              <w:spacing w:before="30" w:after="30"/>
            </w:pPr>
            <w:r>
              <w:rPr>
                <w:sz w:val="16"/>
                <w:szCs w:val="16"/>
              </w:rPr>
              <w:t>Technology maturity</w:t>
            </w:r>
          </w:p>
        </w:tc>
        <w:tc>
          <w:tcPr>
            <w:tcW w:w="11338" w:type="dxa"/>
            <w:tcBorders>
              <w:top w:val="single" w:sz="4" w:space="0" w:color="D9DDE3"/>
              <w:left w:val="single" w:sz="4" w:space="0" w:color="D9DDE3"/>
              <w:bottom w:val="single" w:sz="4" w:space="0" w:color="D9DDE3"/>
              <w:right w:val="single" w:sz="4" w:space="0" w:color="D9DDE3"/>
            </w:tcBorders>
            <w:shd w:val="clear" w:color="auto" w:fill="F2F4F7"/>
            <w:tcMar>
              <w:top w:w="50" w:type="dxa"/>
              <w:left w:w="110" w:type="dxa"/>
              <w:bottom w:w="50" w:type="dxa"/>
              <w:right w:w="110" w:type="dxa"/>
            </w:tcMar>
          </w:tcPr>
          <w:p w14:paraId="44843C0E" w14:textId="77777777" w:rsidR="00AC133A" w:rsidRDefault="00000000">
            <w:pPr>
              <w:spacing w:before="30" w:after="30"/>
            </w:pPr>
            <w:r>
              <w:rPr>
                <w:sz w:val="16"/>
                <w:szCs w:val="16"/>
              </w:rPr>
              <w:t>☑ Mature/diffused — commercial facial recognition is mature; real-time crowd deployment is commercialising rapidly in Australia, UK and US</w:t>
            </w:r>
          </w:p>
        </w:tc>
      </w:tr>
      <w:tr w:rsidR="00AC133A" w14:paraId="6094E4A9" w14:textId="77777777">
        <w:tblPrEx>
          <w:tblCellMar>
            <w:top w:w="0" w:type="dxa"/>
            <w:bottom w:w="0" w:type="dxa"/>
          </w:tblCellMar>
        </w:tblPrEx>
        <w:tc>
          <w:tcPr>
            <w:tcW w:w="3900" w:type="dxa"/>
            <w:tcBorders>
              <w:top w:val="single" w:sz="4" w:space="0" w:color="D9DDE3"/>
              <w:left w:val="single" w:sz="4" w:space="0" w:color="D9DDE3"/>
              <w:bottom w:val="single" w:sz="4" w:space="0" w:color="D9DDE3"/>
              <w:right w:val="single" w:sz="4" w:space="0" w:color="D9DDE3"/>
            </w:tcBorders>
            <w:shd w:val="clear" w:color="auto" w:fill="FFFFFF"/>
            <w:tcMar>
              <w:top w:w="50" w:type="dxa"/>
              <w:left w:w="110" w:type="dxa"/>
              <w:bottom w:w="50" w:type="dxa"/>
              <w:right w:w="110" w:type="dxa"/>
            </w:tcMar>
          </w:tcPr>
          <w:p w14:paraId="555C1648" w14:textId="77777777" w:rsidR="00AC133A" w:rsidRDefault="00000000">
            <w:pPr>
              <w:spacing w:before="30" w:after="30"/>
            </w:pPr>
            <w:r>
              <w:rPr>
                <w:sz w:val="16"/>
                <w:szCs w:val="16"/>
              </w:rPr>
              <w:t>What does this replace or sit alongside? (comparator)</w:t>
            </w:r>
          </w:p>
        </w:tc>
        <w:tc>
          <w:tcPr>
            <w:tcW w:w="11338" w:type="dxa"/>
            <w:tcBorders>
              <w:top w:val="single" w:sz="4" w:space="0" w:color="D9DDE3"/>
              <w:left w:val="single" w:sz="4" w:space="0" w:color="D9DDE3"/>
              <w:bottom w:val="single" w:sz="4" w:space="0" w:color="D9DDE3"/>
              <w:right w:val="single" w:sz="4" w:space="0" w:color="D9DDE3"/>
            </w:tcBorders>
            <w:shd w:val="clear" w:color="auto" w:fill="FFFFFF"/>
            <w:tcMar>
              <w:top w:w="50" w:type="dxa"/>
              <w:left w:w="110" w:type="dxa"/>
              <w:bottom w:w="50" w:type="dxa"/>
              <w:right w:w="110" w:type="dxa"/>
            </w:tcMar>
          </w:tcPr>
          <w:p w14:paraId="48CFA25F" w14:textId="77777777" w:rsidR="00AC133A" w:rsidRDefault="00000000">
            <w:pPr>
              <w:spacing w:before="30" w:after="30"/>
            </w:pPr>
            <w:r>
              <w:rPr>
                <w:sz w:val="16"/>
                <w:szCs w:val="16"/>
              </w:rPr>
              <w:t>Manual identification by officers using photos; retrospective CCTV review; description-based radio alerts; targeted warrant-based surveillance of specific individuals</w:t>
            </w:r>
          </w:p>
        </w:tc>
      </w:tr>
    </w:tbl>
    <w:p w14:paraId="4B15128B" w14:textId="77777777" w:rsidR="00AC133A" w:rsidRDefault="00AC133A">
      <w:pPr>
        <w:spacing w:before="90"/>
      </w:pPr>
    </w:p>
    <w:tbl>
      <w:tblPr>
        <w:tblW w:w="155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710"/>
        <w:gridCol w:w="160"/>
        <w:gridCol w:w="4668"/>
      </w:tblGrid>
      <w:tr w:rsidR="00AC133A" w14:paraId="64895DB9" w14:textId="77777777">
        <w:tblPrEx>
          <w:tblCellMar>
            <w:top w:w="0" w:type="dxa"/>
            <w:bottom w:w="0" w:type="dxa"/>
          </w:tblCellMar>
        </w:tblPrEx>
        <w:tc>
          <w:tcPr>
            <w:tcW w:w="15538" w:type="dxa"/>
            <w:gridSpan w:val="3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A6B6B"/>
            <w:tcMar>
              <w:top w:w="55" w:type="dxa"/>
              <w:left w:w="120" w:type="dxa"/>
              <w:bottom w:w="55" w:type="dxa"/>
              <w:right w:w="120" w:type="dxa"/>
            </w:tcMar>
          </w:tcPr>
          <w:p w14:paraId="02752E99" w14:textId="77777777" w:rsidR="00AC133A" w:rsidRDefault="00000000">
            <w:pPr>
              <w:spacing w:before="30" w:after="30"/>
            </w:pPr>
            <w:r>
              <w:rPr>
                <w:b/>
                <w:bCs/>
                <w:color w:val="FFFFFF"/>
                <w:sz w:val="19"/>
                <w:szCs w:val="19"/>
              </w:rPr>
              <w:t>PART B — IMPACTS    Positive and negative across all dimensions — not just technical risk.</w:t>
            </w:r>
          </w:p>
        </w:tc>
      </w:tr>
      <w:tr w:rsidR="00AC133A" w14:paraId="530459E5" w14:textId="77777777">
        <w:tblPrEx>
          <w:tblBorders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tblBorders>
          <w:tblCellMar>
            <w:top w:w="0" w:type="dxa"/>
            <w:bottom w:w="0" w:type="dxa"/>
          </w:tblCellMar>
        </w:tblPrEx>
        <w:tc>
          <w:tcPr>
            <w:tcW w:w="107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070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300"/>
              <w:gridCol w:w="3600"/>
              <w:gridCol w:w="3600"/>
              <w:gridCol w:w="1200"/>
            </w:tblGrid>
            <w:tr w:rsidR="00AC133A" w14:paraId="67B402D0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300" w:type="dxa"/>
                  <w:tcBorders>
                    <w:top w:val="single" w:sz="4" w:space="0" w:color="D9DDE3"/>
                    <w:left w:val="single" w:sz="4" w:space="0" w:color="D9DDE3"/>
                    <w:bottom w:val="single" w:sz="4" w:space="0" w:color="D9DDE3"/>
                    <w:right w:val="single" w:sz="4" w:space="0" w:color="D9DDE3"/>
                  </w:tcBorders>
                  <w:shd w:val="clear" w:color="auto" w:fill="1B3A6B"/>
                  <w:tcMar>
                    <w:top w:w="55" w:type="dxa"/>
                    <w:left w:w="110" w:type="dxa"/>
                    <w:bottom w:w="55" w:type="dxa"/>
                    <w:right w:w="110" w:type="dxa"/>
                  </w:tcMar>
                </w:tcPr>
                <w:p w14:paraId="04DD809E" w14:textId="77777777" w:rsidR="00AC133A" w:rsidRDefault="00000000">
                  <w:pPr>
                    <w:spacing w:before="30" w:after="30"/>
                  </w:pPr>
                  <w:r>
                    <w:rPr>
                      <w:b/>
                      <w:bCs/>
                      <w:color w:val="FFFFFF"/>
                      <w:sz w:val="17"/>
                      <w:szCs w:val="17"/>
                    </w:rPr>
                    <w:t>Dimension</w:t>
                  </w:r>
                </w:p>
              </w:tc>
              <w:tc>
                <w:tcPr>
                  <w:tcW w:w="3600" w:type="dxa"/>
                  <w:tcBorders>
                    <w:top w:val="single" w:sz="4" w:space="0" w:color="D9DDE3"/>
                    <w:left w:val="single" w:sz="4" w:space="0" w:color="D9DDE3"/>
                    <w:bottom w:val="single" w:sz="4" w:space="0" w:color="D9DDE3"/>
                    <w:right w:val="single" w:sz="4" w:space="0" w:color="D9DDE3"/>
                  </w:tcBorders>
                  <w:shd w:val="clear" w:color="auto" w:fill="1B3A6B"/>
                  <w:tcMar>
                    <w:top w:w="55" w:type="dxa"/>
                    <w:left w:w="110" w:type="dxa"/>
                    <w:bottom w:w="55" w:type="dxa"/>
                    <w:right w:w="110" w:type="dxa"/>
                  </w:tcMar>
                </w:tcPr>
                <w:p w14:paraId="409BE1EC" w14:textId="77777777" w:rsidR="00AC133A" w:rsidRDefault="00000000">
                  <w:pPr>
                    <w:spacing w:before="30" w:after="30"/>
                  </w:pPr>
                  <w:r>
                    <w:rPr>
                      <w:b/>
                      <w:bCs/>
                      <w:color w:val="FFFFFF"/>
                      <w:sz w:val="17"/>
                      <w:szCs w:val="17"/>
                    </w:rPr>
                    <w:t>Positive impacts</w:t>
                  </w:r>
                </w:p>
              </w:tc>
              <w:tc>
                <w:tcPr>
                  <w:tcW w:w="3600" w:type="dxa"/>
                  <w:tcBorders>
                    <w:top w:val="single" w:sz="4" w:space="0" w:color="D9DDE3"/>
                    <w:left w:val="single" w:sz="4" w:space="0" w:color="D9DDE3"/>
                    <w:bottom w:val="single" w:sz="4" w:space="0" w:color="D9DDE3"/>
                    <w:right w:val="single" w:sz="4" w:space="0" w:color="D9DDE3"/>
                  </w:tcBorders>
                  <w:shd w:val="clear" w:color="auto" w:fill="1B3A6B"/>
                  <w:tcMar>
                    <w:top w:w="55" w:type="dxa"/>
                    <w:left w:w="110" w:type="dxa"/>
                    <w:bottom w:w="55" w:type="dxa"/>
                    <w:right w:w="110" w:type="dxa"/>
                  </w:tcMar>
                </w:tcPr>
                <w:p w14:paraId="3737013D" w14:textId="77777777" w:rsidR="00AC133A" w:rsidRDefault="00000000">
                  <w:pPr>
                    <w:spacing w:before="30" w:after="30"/>
                  </w:pPr>
                  <w:r>
                    <w:rPr>
                      <w:b/>
                      <w:bCs/>
                      <w:color w:val="FFFFFF"/>
                      <w:sz w:val="17"/>
                      <w:szCs w:val="17"/>
                    </w:rPr>
                    <w:t>Negative impacts</w:t>
                  </w:r>
                </w:p>
              </w:tc>
              <w:tc>
                <w:tcPr>
                  <w:tcW w:w="1200" w:type="dxa"/>
                  <w:tcBorders>
                    <w:top w:val="single" w:sz="4" w:space="0" w:color="D9DDE3"/>
                    <w:left w:val="single" w:sz="4" w:space="0" w:color="D9DDE3"/>
                    <w:bottom w:val="single" w:sz="4" w:space="0" w:color="D9DDE3"/>
                    <w:right w:val="single" w:sz="4" w:space="0" w:color="D9DDE3"/>
                  </w:tcBorders>
                  <w:shd w:val="clear" w:color="auto" w:fill="1B3A6B"/>
                  <w:tcMar>
                    <w:top w:w="55" w:type="dxa"/>
                    <w:left w:w="110" w:type="dxa"/>
                    <w:bottom w:w="55" w:type="dxa"/>
                    <w:right w:w="110" w:type="dxa"/>
                  </w:tcMar>
                </w:tcPr>
                <w:p w14:paraId="54374738" w14:textId="77777777" w:rsidR="00AC133A" w:rsidRDefault="00000000">
                  <w:pPr>
                    <w:spacing w:before="30" w:after="30"/>
                  </w:pPr>
                  <w:r>
                    <w:rPr>
                      <w:b/>
                      <w:bCs/>
                      <w:color w:val="FFFFFF"/>
                      <w:sz w:val="17"/>
                      <w:szCs w:val="17"/>
                    </w:rPr>
                    <w:t>Conf.</w:t>
                  </w:r>
                </w:p>
              </w:tc>
            </w:tr>
            <w:tr w:rsidR="00AC133A" w14:paraId="38C4C278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300" w:type="dxa"/>
                  <w:tcBorders>
                    <w:top w:val="single" w:sz="4" w:space="0" w:color="D9DDE3"/>
                    <w:left w:val="single" w:sz="4" w:space="0" w:color="D9DDE3"/>
                    <w:bottom w:val="single" w:sz="4" w:space="0" w:color="D9DDE3"/>
                    <w:right w:val="single" w:sz="4" w:space="0" w:color="D9DDE3"/>
                  </w:tcBorders>
                  <w:shd w:val="clear" w:color="auto" w:fill="FFFFFF"/>
                  <w:tcMar>
                    <w:top w:w="55" w:type="dxa"/>
                    <w:left w:w="110" w:type="dxa"/>
                    <w:bottom w:w="55" w:type="dxa"/>
                    <w:right w:w="110" w:type="dxa"/>
                  </w:tcMar>
                </w:tcPr>
                <w:p w14:paraId="7FDCCCBC" w14:textId="77777777" w:rsidR="00AC133A" w:rsidRDefault="00000000">
                  <w:pPr>
                    <w:spacing w:before="30" w:after="30"/>
                  </w:pPr>
                  <w:r>
                    <w:rPr>
                      <w:sz w:val="17"/>
                      <w:szCs w:val="17"/>
                    </w:rPr>
                    <w:t>Technical performance</w:t>
                  </w:r>
                </w:p>
              </w:tc>
              <w:tc>
                <w:tcPr>
                  <w:tcW w:w="3600" w:type="dxa"/>
                  <w:tcBorders>
                    <w:top w:val="single" w:sz="4" w:space="0" w:color="D9DDE3"/>
                    <w:left w:val="single" w:sz="4" w:space="0" w:color="D9DDE3"/>
                    <w:bottom w:val="single" w:sz="4" w:space="0" w:color="D9DDE3"/>
                    <w:right w:val="single" w:sz="4" w:space="0" w:color="D9DDE3"/>
                  </w:tcBorders>
                  <w:shd w:val="clear" w:color="auto" w:fill="FFFFFF"/>
                  <w:tcMar>
                    <w:top w:w="55" w:type="dxa"/>
                    <w:left w:w="110" w:type="dxa"/>
                    <w:bottom w:w="55" w:type="dxa"/>
                    <w:right w:w="110" w:type="dxa"/>
                  </w:tcMar>
                </w:tcPr>
                <w:p w14:paraId="54A74D12" w14:textId="77777777" w:rsidR="00AC133A" w:rsidRDefault="00000000">
                  <w:pPr>
                    <w:spacing w:before="30" w:after="30"/>
                  </w:pPr>
                  <w:r>
                    <w:rPr>
                      <w:sz w:val="17"/>
                      <w:szCs w:val="17"/>
                    </w:rPr>
                    <w:t>Matches faces against watchlist at scale and speed impossible for humans; 24/7 operation; reduces officer workload for high-volume surveillance tasks</w:t>
                  </w:r>
                </w:p>
              </w:tc>
              <w:tc>
                <w:tcPr>
                  <w:tcW w:w="3600" w:type="dxa"/>
                  <w:tcBorders>
                    <w:top w:val="single" w:sz="4" w:space="0" w:color="D9DDE3"/>
                    <w:left w:val="single" w:sz="4" w:space="0" w:color="D9DDE3"/>
                    <w:bottom w:val="single" w:sz="4" w:space="0" w:color="D9DDE3"/>
                    <w:right w:val="single" w:sz="4" w:space="0" w:color="D9DDE3"/>
                  </w:tcBorders>
                  <w:shd w:val="clear" w:color="auto" w:fill="FFFFFF"/>
                  <w:tcMar>
                    <w:top w:w="55" w:type="dxa"/>
                    <w:left w:w="110" w:type="dxa"/>
                    <w:bottom w:w="55" w:type="dxa"/>
                    <w:right w:w="110" w:type="dxa"/>
                  </w:tcMar>
                </w:tcPr>
                <w:p w14:paraId="31448049" w14:textId="77777777" w:rsidR="00AC133A" w:rsidRDefault="00000000">
                  <w:pPr>
                    <w:spacing w:before="30" w:after="30"/>
                  </w:pPr>
                  <w:r>
                    <w:rPr>
                      <w:sz w:val="17"/>
                      <w:szCs w:val="17"/>
                    </w:rPr>
                    <w:t>False positive rates up to 80–96% in early deployments (NIST 2019); accuracy degrades significantly for darker skin tones, women and elderly; fails in crowds, poor lighting, face coverings or partial occlusion</w:t>
                  </w:r>
                </w:p>
              </w:tc>
              <w:tc>
                <w:tcPr>
                  <w:tcW w:w="1200" w:type="dxa"/>
                  <w:tcBorders>
                    <w:top w:val="single" w:sz="4" w:space="0" w:color="D9DDE3"/>
                    <w:left w:val="single" w:sz="4" w:space="0" w:color="D9DDE3"/>
                    <w:bottom w:val="single" w:sz="4" w:space="0" w:color="D9DDE3"/>
                    <w:right w:val="single" w:sz="4" w:space="0" w:color="D9DDE3"/>
                  </w:tcBorders>
                  <w:shd w:val="clear" w:color="auto" w:fill="FFFFFF"/>
                  <w:tcMar>
                    <w:top w:w="50" w:type="dxa"/>
                    <w:left w:w="80" w:type="dxa"/>
                    <w:bottom w:w="50" w:type="dxa"/>
                    <w:right w:w="80" w:type="dxa"/>
                  </w:tcMar>
                </w:tcPr>
                <w:p w14:paraId="2BFA34B5" w14:textId="77777777" w:rsidR="00AC133A" w:rsidRDefault="00000000">
                  <w:pPr>
                    <w:jc w:val="center"/>
                  </w:pPr>
                  <w:r>
                    <w:rPr>
                      <w:b/>
                      <w:bCs/>
                      <w:color w:val="1A5C2A"/>
                    </w:rPr>
                    <w:t>H</w:t>
                  </w:r>
                </w:p>
              </w:tc>
            </w:tr>
            <w:tr w:rsidR="00AC133A" w14:paraId="4154887C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300" w:type="dxa"/>
                  <w:tcBorders>
                    <w:top w:val="single" w:sz="4" w:space="0" w:color="D9DDE3"/>
                    <w:left w:val="single" w:sz="4" w:space="0" w:color="D9DDE3"/>
                    <w:bottom w:val="single" w:sz="4" w:space="0" w:color="D9DDE3"/>
                    <w:right w:val="single" w:sz="4" w:space="0" w:color="D9DDE3"/>
                  </w:tcBorders>
                  <w:shd w:val="clear" w:color="auto" w:fill="F2F4F7"/>
                  <w:tcMar>
                    <w:top w:w="55" w:type="dxa"/>
                    <w:left w:w="110" w:type="dxa"/>
                    <w:bottom w:w="55" w:type="dxa"/>
                    <w:right w:w="110" w:type="dxa"/>
                  </w:tcMar>
                </w:tcPr>
                <w:p w14:paraId="6F6550B4" w14:textId="77777777" w:rsidR="00AC133A" w:rsidRDefault="00000000">
                  <w:pPr>
                    <w:spacing w:before="30" w:after="30"/>
                  </w:pPr>
                  <w:r>
                    <w:rPr>
                      <w:sz w:val="17"/>
                      <w:szCs w:val="17"/>
                    </w:rPr>
                    <w:t>Security &amp; geopolitical</w:t>
                  </w:r>
                </w:p>
              </w:tc>
              <w:tc>
                <w:tcPr>
                  <w:tcW w:w="3600" w:type="dxa"/>
                  <w:tcBorders>
                    <w:top w:val="single" w:sz="4" w:space="0" w:color="D9DDE3"/>
                    <w:left w:val="single" w:sz="4" w:space="0" w:color="D9DDE3"/>
                    <w:bottom w:val="single" w:sz="4" w:space="0" w:color="D9DDE3"/>
                    <w:right w:val="single" w:sz="4" w:space="0" w:color="D9DDE3"/>
                  </w:tcBorders>
                  <w:shd w:val="clear" w:color="auto" w:fill="F2F4F7"/>
                  <w:tcMar>
                    <w:top w:w="55" w:type="dxa"/>
                    <w:left w:w="110" w:type="dxa"/>
                    <w:bottom w:w="55" w:type="dxa"/>
                    <w:right w:w="110" w:type="dxa"/>
                  </w:tcMar>
                </w:tcPr>
                <w:p w14:paraId="1CD604CD" w14:textId="77777777" w:rsidR="00AC133A" w:rsidRDefault="00000000">
                  <w:pPr>
                    <w:spacing w:before="30" w:after="30"/>
                  </w:pPr>
                  <w:r>
                    <w:rPr>
                      <w:sz w:val="17"/>
                      <w:szCs w:val="17"/>
                    </w:rPr>
                    <w:t>Faster fugitive apprehension; interoperable with Five Eyes partner watchlist systems; potential deterrence effect on known high-risk individuals</w:t>
                  </w:r>
                </w:p>
              </w:tc>
              <w:tc>
                <w:tcPr>
                  <w:tcW w:w="3600" w:type="dxa"/>
                  <w:tcBorders>
                    <w:top w:val="single" w:sz="4" w:space="0" w:color="D9DDE3"/>
                    <w:left w:val="single" w:sz="4" w:space="0" w:color="D9DDE3"/>
                    <w:bottom w:val="single" w:sz="4" w:space="0" w:color="D9DDE3"/>
                    <w:right w:val="single" w:sz="4" w:space="0" w:color="D9DDE3"/>
                  </w:tcBorders>
                  <w:shd w:val="clear" w:color="auto" w:fill="F2F4F7"/>
                  <w:tcMar>
                    <w:top w:w="55" w:type="dxa"/>
                    <w:left w:w="110" w:type="dxa"/>
                    <w:bottom w:w="55" w:type="dxa"/>
                    <w:right w:w="110" w:type="dxa"/>
                  </w:tcMar>
                </w:tcPr>
                <w:p w14:paraId="5982E63E" w14:textId="77777777" w:rsidR="00AC133A" w:rsidRDefault="00000000">
                  <w:pPr>
                    <w:spacing w:before="30" w:after="30"/>
                  </w:pPr>
                  <w:r>
                    <w:rPr>
                      <w:sz w:val="17"/>
                      <w:szCs w:val="17"/>
                    </w:rPr>
                    <w:t>Technology commonly sourced from vendors with PRC links (Hikvision, Dahua, Huawei affiliates) — creates data sovereignty and supply-chain risk; watchlist data sharing may expose intelligence sources and methods</w:t>
                  </w:r>
                </w:p>
              </w:tc>
              <w:tc>
                <w:tcPr>
                  <w:tcW w:w="1200" w:type="dxa"/>
                  <w:tcBorders>
                    <w:top w:val="single" w:sz="4" w:space="0" w:color="D9DDE3"/>
                    <w:left w:val="single" w:sz="4" w:space="0" w:color="D9DDE3"/>
                    <w:bottom w:val="single" w:sz="4" w:space="0" w:color="D9DDE3"/>
                    <w:right w:val="single" w:sz="4" w:space="0" w:color="D9DDE3"/>
                  </w:tcBorders>
                  <w:shd w:val="clear" w:color="auto" w:fill="F2F4F7"/>
                  <w:tcMar>
                    <w:top w:w="50" w:type="dxa"/>
                    <w:left w:w="80" w:type="dxa"/>
                    <w:bottom w:w="50" w:type="dxa"/>
                    <w:right w:w="80" w:type="dxa"/>
                  </w:tcMar>
                </w:tcPr>
                <w:p w14:paraId="0DC7B417" w14:textId="77777777" w:rsidR="00AC133A" w:rsidRDefault="00000000">
                  <w:pPr>
                    <w:jc w:val="center"/>
                  </w:pPr>
                  <w:r>
                    <w:rPr>
                      <w:b/>
                      <w:bCs/>
                      <w:color w:val="7B4F00"/>
                    </w:rPr>
                    <w:t>M</w:t>
                  </w:r>
                </w:p>
              </w:tc>
            </w:tr>
            <w:tr w:rsidR="00AC133A" w14:paraId="1A6D46E2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300" w:type="dxa"/>
                  <w:tcBorders>
                    <w:top w:val="single" w:sz="4" w:space="0" w:color="D9DDE3"/>
                    <w:left w:val="single" w:sz="4" w:space="0" w:color="D9DDE3"/>
                    <w:bottom w:val="single" w:sz="4" w:space="0" w:color="D9DDE3"/>
                    <w:right w:val="single" w:sz="4" w:space="0" w:color="D9DDE3"/>
                  </w:tcBorders>
                  <w:shd w:val="clear" w:color="auto" w:fill="FFFFFF"/>
                  <w:tcMar>
                    <w:top w:w="55" w:type="dxa"/>
                    <w:left w:w="110" w:type="dxa"/>
                    <w:bottom w:w="55" w:type="dxa"/>
                    <w:right w:w="110" w:type="dxa"/>
                  </w:tcMar>
                </w:tcPr>
                <w:p w14:paraId="6304C460" w14:textId="77777777" w:rsidR="00AC133A" w:rsidRDefault="00000000">
                  <w:pPr>
                    <w:spacing w:before="30" w:after="30"/>
                  </w:pPr>
                  <w:r>
                    <w:rPr>
                      <w:sz w:val="17"/>
                      <w:szCs w:val="17"/>
                    </w:rPr>
                    <w:t>Social: equity, rights, labour</w:t>
                  </w:r>
                </w:p>
              </w:tc>
              <w:tc>
                <w:tcPr>
                  <w:tcW w:w="3600" w:type="dxa"/>
                  <w:tcBorders>
                    <w:top w:val="single" w:sz="4" w:space="0" w:color="D9DDE3"/>
                    <w:left w:val="single" w:sz="4" w:space="0" w:color="D9DDE3"/>
                    <w:bottom w:val="single" w:sz="4" w:space="0" w:color="D9DDE3"/>
                    <w:right w:val="single" w:sz="4" w:space="0" w:color="D9DDE3"/>
                  </w:tcBorders>
                  <w:shd w:val="clear" w:color="auto" w:fill="FFFFFF"/>
                  <w:tcMar>
                    <w:top w:w="55" w:type="dxa"/>
                    <w:left w:w="110" w:type="dxa"/>
                    <w:bottom w:w="55" w:type="dxa"/>
                    <w:right w:w="110" w:type="dxa"/>
                  </w:tcMar>
                </w:tcPr>
                <w:p w14:paraId="48EE9414" w14:textId="77777777" w:rsidR="00AC133A" w:rsidRDefault="00000000">
                  <w:pPr>
                    <w:spacing w:before="30" w:after="30"/>
                  </w:pPr>
                  <w:r>
                    <w:rPr>
                      <w:sz w:val="17"/>
                      <w:szCs w:val="17"/>
                    </w:rPr>
                    <w:t>Targeted approach may reduce need for broader, more intrusive policing of entire communities; protects potential victims of serious offenders</w:t>
                  </w:r>
                </w:p>
              </w:tc>
              <w:tc>
                <w:tcPr>
                  <w:tcW w:w="3600" w:type="dxa"/>
                  <w:tcBorders>
                    <w:top w:val="single" w:sz="4" w:space="0" w:color="D9DDE3"/>
                    <w:left w:val="single" w:sz="4" w:space="0" w:color="D9DDE3"/>
                    <w:bottom w:val="single" w:sz="4" w:space="0" w:color="D9DDE3"/>
                    <w:right w:val="single" w:sz="4" w:space="0" w:color="D9DDE3"/>
                  </w:tcBorders>
                  <w:shd w:val="clear" w:color="auto" w:fill="FFFFFF"/>
                  <w:tcMar>
                    <w:top w:w="55" w:type="dxa"/>
                    <w:left w:w="110" w:type="dxa"/>
                    <w:bottom w:w="55" w:type="dxa"/>
                    <w:right w:w="110" w:type="dxa"/>
                  </w:tcMar>
                </w:tcPr>
                <w:p w14:paraId="03B3B11D" w14:textId="77777777" w:rsidR="00AC133A" w:rsidRDefault="00000000">
                  <w:pPr>
                    <w:spacing w:before="30" w:after="30"/>
                  </w:pPr>
                  <w:r>
                    <w:rPr>
                      <w:sz w:val="17"/>
                      <w:szCs w:val="17"/>
                    </w:rPr>
                    <w:t>Documented racial and gender bias amplifies existing policing inequalities; disproportionate impact on Indigenous Australians and ethnic minorities; chilling effect on lawful protest and assembly; normalises public anonymity erosion</w:t>
                  </w:r>
                </w:p>
              </w:tc>
              <w:tc>
                <w:tcPr>
                  <w:tcW w:w="1200" w:type="dxa"/>
                  <w:tcBorders>
                    <w:top w:val="single" w:sz="4" w:space="0" w:color="D9DDE3"/>
                    <w:left w:val="single" w:sz="4" w:space="0" w:color="D9DDE3"/>
                    <w:bottom w:val="single" w:sz="4" w:space="0" w:color="D9DDE3"/>
                    <w:right w:val="single" w:sz="4" w:space="0" w:color="D9DDE3"/>
                  </w:tcBorders>
                  <w:shd w:val="clear" w:color="auto" w:fill="FFFFFF"/>
                  <w:tcMar>
                    <w:top w:w="50" w:type="dxa"/>
                    <w:left w:w="80" w:type="dxa"/>
                    <w:bottom w:w="50" w:type="dxa"/>
                    <w:right w:w="80" w:type="dxa"/>
                  </w:tcMar>
                </w:tcPr>
                <w:p w14:paraId="1F9E63F4" w14:textId="77777777" w:rsidR="00AC133A" w:rsidRDefault="00000000">
                  <w:pPr>
                    <w:jc w:val="center"/>
                  </w:pPr>
                  <w:r>
                    <w:rPr>
                      <w:b/>
                      <w:bCs/>
                      <w:color w:val="1A5C2A"/>
                    </w:rPr>
                    <w:t>H</w:t>
                  </w:r>
                </w:p>
              </w:tc>
            </w:tr>
            <w:tr w:rsidR="00AC133A" w14:paraId="1B8D93E0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300" w:type="dxa"/>
                  <w:tcBorders>
                    <w:top w:val="single" w:sz="4" w:space="0" w:color="D9DDE3"/>
                    <w:left w:val="single" w:sz="4" w:space="0" w:color="D9DDE3"/>
                    <w:bottom w:val="single" w:sz="4" w:space="0" w:color="D9DDE3"/>
                    <w:right w:val="single" w:sz="4" w:space="0" w:color="D9DDE3"/>
                  </w:tcBorders>
                  <w:shd w:val="clear" w:color="auto" w:fill="F2F4F7"/>
                  <w:tcMar>
                    <w:top w:w="55" w:type="dxa"/>
                    <w:left w:w="110" w:type="dxa"/>
                    <w:bottom w:w="55" w:type="dxa"/>
                    <w:right w:w="110" w:type="dxa"/>
                  </w:tcMar>
                </w:tcPr>
                <w:p w14:paraId="6D450B44" w14:textId="77777777" w:rsidR="00AC133A" w:rsidRDefault="00000000">
                  <w:pPr>
                    <w:spacing w:before="30" w:after="30"/>
                  </w:pPr>
                  <w:r>
                    <w:rPr>
                      <w:sz w:val="17"/>
                      <w:szCs w:val="17"/>
                    </w:rPr>
                    <w:t>Political &amp; democratic</w:t>
                  </w:r>
                </w:p>
              </w:tc>
              <w:tc>
                <w:tcPr>
                  <w:tcW w:w="3600" w:type="dxa"/>
                  <w:tcBorders>
                    <w:top w:val="single" w:sz="4" w:space="0" w:color="D9DDE3"/>
                    <w:left w:val="single" w:sz="4" w:space="0" w:color="D9DDE3"/>
                    <w:bottom w:val="single" w:sz="4" w:space="0" w:color="D9DDE3"/>
                    <w:right w:val="single" w:sz="4" w:space="0" w:color="D9DDE3"/>
                  </w:tcBorders>
                  <w:shd w:val="clear" w:color="auto" w:fill="F2F4F7"/>
                  <w:tcMar>
                    <w:top w:w="55" w:type="dxa"/>
                    <w:left w:w="110" w:type="dxa"/>
                    <w:bottom w:w="55" w:type="dxa"/>
                    <w:right w:w="110" w:type="dxa"/>
                  </w:tcMar>
                </w:tcPr>
                <w:p w14:paraId="0CCE0E44" w14:textId="77777777" w:rsidR="00AC133A" w:rsidRDefault="00000000">
                  <w:pPr>
                    <w:spacing w:before="30" w:after="30"/>
                  </w:pPr>
                  <w:r>
                    <w:rPr>
                      <w:sz w:val="17"/>
                      <w:szCs w:val="17"/>
                    </w:rPr>
                    <w:t>Visible law enforcement capability may strengthen public confidence; bipartisan support for crime reduction measures</w:t>
                  </w:r>
                </w:p>
              </w:tc>
              <w:tc>
                <w:tcPr>
                  <w:tcW w:w="3600" w:type="dxa"/>
                  <w:tcBorders>
                    <w:top w:val="single" w:sz="4" w:space="0" w:color="D9DDE3"/>
                    <w:left w:val="single" w:sz="4" w:space="0" w:color="D9DDE3"/>
                    <w:bottom w:val="single" w:sz="4" w:space="0" w:color="D9DDE3"/>
                    <w:right w:val="single" w:sz="4" w:space="0" w:color="D9DDE3"/>
                  </w:tcBorders>
                  <w:shd w:val="clear" w:color="auto" w:fill="F2F4F7"/>
                  <w:tcMar>
                    <w:top w:w="55" w:type="dxa"/>
                    <w:left w:w="110" w:type="dxa"/>
                    <w:bottom w:w="55" w:type="dxa"/>
                    <w:right w:w="110" w:type="dxa"/>
                  </w:tcMar>
                </w:tcPr>
                <w:p w14:paraId="5806032B" w14:textId="77777777" w:rsidR="00AC133A" w:rsidRDefault="00000000">
                  <w:pPr>
                    <w:spacing w:before="30" w:after="30"/>
                  </w:pPr>
                  <w:r>
                    <w:rPr>
                      <w:sz w:val="17"/>
                      <w:szCs w:val="17"/>
                    </w:rPr>
                    <w:t>Strong function creep risk — UK and US evidence shows mission expansion from serious crime to minor offences and protest monitoring; risk of political misuse against activists; undermines the right to anonymous presence in public space</w:t>
                  </w:r>
                </w:p>
              </w:tc>
              <w:tc>
                <w:tcPr>
                  <w:tcW w:w="1200" w:type="dxa"/>
                  <w:tcBorders>
                    <w:top w:val="single" w:sz="4" w:space="0" w:color="D9DDE3"/>
                    <w:left w:val="single" w:sz="4" w:space="0" w:color="D9DDE3"/>
                    <w:bottom w:val="single" w:sz="4" w:space="0" w:color="D9DDE3"/>
                    <w:right w:val="single" w:sz="4" w:space="0" w:color="D9DDE3"/>
                  </w:tcBorders>
                  <w:shd w:val="clear" w:color="auto" w:fill="F2F4F7"/>
                  <w:tcMar>
                    <w:top w:w="50" w:type="dxa"/>
                    <w:left w:w="80" w:type="dxa"/>
                    <w:bottom w:w="50" w:type="dxa"/>
                    <w:right w:w="80" w:type="dxa"/>
                  </w:tcMar>
                </w:tcPr>
                <w:p w14:paraId="79B478DC" w14:textId="77777777" w:rsidR="00AC133A" w:rsidRDefault="00000000">
                  <w:pPr>
                    <w:jc w:val="center"/>
                  </w:pPr>
                  <w:r>
                    <w:rPr>
                      <w:b/>
                      <w:bCs/>
                      <w:color w:val="1A5C2A"/>
                    </w:rPr>
                    <w:t>H</w:t>
                  </w:r>
                </w:p>
              </w:tc>
            </w:tr>
            <w:tr w:rsidR="00AC133A" w14:paraId="159BCB53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300" w:type="dxa"/>
                  <w:tcBorders>
                    <w:top w:val="single" w:sz="4" w:space="0" w:color="D9DDE3"/>
                    <w:left w:val="single" w:sz="4" w:space="0" w:color="D9DDE3"/>
                    <w:bottom w:val="single" w:sz="4" w:space="0" w:color="D9DDE3"/>
                    <w:right w:val="single" w:sz="4" w:space="0" w:color="D9DDE3"/>
                  </w:tcBorders>
                  <w:shd w:val="clear" w:color="auto" w:fill="FFFFFF"/>
                  <w:tcMar>
                    <w:top w:w="55" w:type="dxa"/>
                    <w:left w:w="110" w:type="dxa"/>
                    <w:bottom w:w="55" w:type="dxa"/>
                    <w:right w:w="110" w:type="dxa"/>
                  </w:tcMar>
                </w:tcPr>
                <w:p w14:paraId="216EA6E8" w14:textId="77777777" w:rsidR="00AC133A" w:rsidRDefault="00000000">
                  <w:pPr>
                    <w:spacing w:before="30" w:after="30"/>
                  </w:pPr>
                  <w:r>
                    <w:rPr>
                      <w:sz w:val="17"/>
                      <w:szCs w:val="17"/>
                    </w:rPr>
                    <w:lastRenderedPageBreak/>
                    <w:t>Legal &amp; regulatory</w:t>
                  </w:r>
                </w:p>
              </w:tc>
              <w:tc>
                <w:tcPr>
                  <w:tcW w:w="3600" w:type="dxa"/>
                  <w:tcBorders>
                    <w:top w:val="single" w:sz="4" w:space="0" w:color="D9DDE3"/>
                    <w:left w:val="single" w:sz="4" w:space="0" w:color="D9DDE3"/>
                    <w:bottom w:val="single" w:sz="4" w:space="0" w:color="D9DDE3"/>
                    <w:right w:val="single" w:sz="4" w:space="0" w:color="D9DDE3"/>
                  </w:tcBorders>
                  <w:shd w:val="clear" w:color="auto" w:fill="FFFFFF"/>
                  <w:tcMar>
                    <w:top w:w="55" w:type="dxa"/>
                    <w:left w:w="110" w:type="dxa"/>
                    <w:bottom w:w="55" w:type="dxa"/>
                    <w:right w:w="110" w:type="dxa"/>
                  </w:tcMar>
                </w:tcPr>
                <w:p w14:paraId="2D05E467" w14:textId="77777777" w:rsidR="00AC133A" w:rsidRDefault="00000000">
                  <w:pPr>
                    <w:spacing w:before="30" w:after="30"/>
                  </w:pPr>
                  <w:r>
                    <w:rPr>
                      <w:sz w:val="17"/>
                      <w:szCs w:val="17"/>
                    </w:rPr>
                    <w:t>Can operate within existing arrest and search frameworks if deployment is carefully scoped and subject to judicial oversight</w:t>
                  </w:r>
                </w:p>
              </w:tc>
              <w:tc>
                <w:tcPr>
                  <w:tcW w:w="3600" w:type="dxa"/>
                  <w:tcBorders>
                    <w:top w:val="single" w:sz="4" w:space="0" w:color="D9DDE3"/>
                    <w:left w:val="single" w:sz="4" w:space="0" w:color="D9DDE3"/>
                    <w:bottom w:val="single" w:sz="4" w:space="0" w:color="D9DDE3"/>
                    <w:right w:val="single" w:sz="4" w:space="0" w:color="D9DDE3"/>
                  </w:tcBorders>
                  <w:shd w:val="clear" w:color="auto" w:fill="FFFFFF"/>
                  <w:tcMar>
                    <w:top w:w="55" w:type="dxa"/>
                    <w:left w:w="110" w:type="dxa"/>
                    <w:bottom w:w="55" w:type="dxa"/>
                    <w:right w:w="110" w:type="dxa"/>
                  </w:tcMar>
                </w:tcPr>
                <w:p w14:paraId="56182041" w14:textId="77777777" w:rsidR="00AC133A" w:rsidRDefault="00000000">
                  <w:pPr>
                    <w:spacing w:before="30" w:after="30"/>
                  </w:pPr>
                  <w:r>
                    <w:rPr>
                      <w:sz w:val="17"/>
                      <w:szCs w:val="17"/>
                    </w:rPr>
                    <w:t>No specific Australian legislative framework for real-time biometric surveillance in public; Privacy Act 1988 provides minimal protection for biometric data; no independent authorisation or audit mechanism currently exists</w:t>
                  </w:r>
                </w:p>
              </w:tc>
              <w:tc>
                <w:tcPr>
                  <w:tcW w:w="1200" w:type="dxa"/>
                  <w:tcBorders>
                    <w:top w:val="single" w:sz="4" w:space="0" w:color="D9DDE3"/>
                    <w:left w:val="single" w:sz="4" w:space="0" w:color="D9DDE3"/>
                    <w:bottom w:val="single" w:sz="4" w:space="0" w:color="D9DDE3"/>
                    <w:right w:val="single" w:sz="4" w:space="0" w:color="D9DDE3"/>
                  </w:tcBorders>
                  <w:shd w:val="clear" w:color="auto" w:fill="FFFFFF"/>
                  <w:tcMar>
                    <w:top w:w="50" w:type="dxa"/>
                    <w:left w:w="80" w:type="dxa"/>
                    <w:bottom w:w="50" w:type="dxa"/>
                    <w:right w:w="80" w:type="dxa"/>
                  </w:tcMar>
                </w:tcPr>
                <w:p w14:paraId="769A3979" w14:textId="77777777" w:rsidR="00AC133A" w:rsidRDefault="00000000">
                  <w:pPr>
                    <w:jc w:val="center"/>
                  </w:pPr>
                  <w:r>
                    <w:rPr>
                      <w:b/>
                      <w:bCs/>
                      <w:color w:val="1A5C2A"/>
                    </w:rPr>
                    <w:t>H</w:t>
                  </w:r>
                </w:p>
              </w:tc>
            </w:tr>
            <w:tr w:rsidR="00AC133A" w14:paraId="4F05CE1D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300" w:type="dxa"/>
                  <w:tcBorders>
                    <w:top w:val="single" w:sz="4" w:space="0" w:color="D9DDE3"/>
                    <w:left w:val="single" w:sz="4" w:space="0" w:color="D9DDE3"/>
                    <w:bottom w:val="single" w:sz="4" w:space="0" w:color="D9DDE3"/>
                    <w:right w:val="single" w:sz="4" w:space="0" w:color="D9DDE3"/>
                  </w:tcBorders>
                  <w:shd w:val="clear" w:color="auto" w:fill="F2F4F7"/>
                  <w:tcMar>
                    <w:top w:w="55" w:type="dxa"/>
                    <w:left w:w="110" w:type="dxa"/>
                    <w:bottom w:w="55" w:type="dxa"/>
                    <w:right w:w="110" w:type="dxa"/>
                  </w:tcMar>
                </w:tcPr>
                <w:p w14:paraId="14D3E614" w14:textId="77777777" w:rsidR="00AC133A" w:rsidRDefault="00000000">
                  <w:pPr>
                    <w:spacing w:before="30" w:after="30"/>
                  </w:pPr>
                  <w:r>
                    <w:rPr>
                      <w:sz w:val="17"/>
                      <w:szCs w:val="17"/>
                    </w:rPr>
                    <w:t>Economic</w:t>
                  </w:r>
                </w:p>
              </w:tc>
              <w:tc>
                <w:tcPr>
                  <w:tcW w:w="3600" w:type="dxa"/>
                  <w:tcBorders>
                    <w:top w:val="single" w:sz="4" w:space="0" w:color="D9DDE3"/>
                    <w:left w:val="single" w:sz="4" w:space="0" w:color="D9DDE3"/>
                    <w:bottom w:val="single" w:sz="4" w:space="0" w:color="D9DDE3"/>
                    <w:right w:val="single" w:sz="4" w:space="0" w:color="D9DDE3"/>
                  </w:tcBorders>
                  <w:shd w:val="clear" w:color="auto" w:fill="F2F4F7"/>
                  <w:tcMar>
                    <w:top w:w="55" w:type="dxa"/>
                    <w:left w:w="110" w:type="dxa"/>
                    <w:bottom w:w="55" w:type="dxa"/>
                    <w:right w:w="110" w:type="dxa"/>
                  </w:tcMar>
                </w:tcPr>
                <w:p w14:paraId="202E4637" w14:textId="77777777" w:rsidR="00AC133A" w:rsidRDefault="00000000">
                  <w:pPr>
                    <w:spacing w:before="30" w:after="30"/>
                  </w:pPr>
                  <w:r>
                    <w:rPr>
                      <w:sz w:val="17"/>
                      <w:szCs w:val="17"/>
                    </w:rPr>
                    <w:t>Potential efficiency gains for law enforcement; government procurement supports domestic and allied technology sectors</w:t>
                  </w:r>
                </w:p>
              </w:tc>
              <w:tc>
                <w:tcPr>
                  <w:tcW w:w="3600" w:type="dxa"/>
                  <w:tcBorders>
                    <w:top w:val="single" w:sz="4" w:space="0" w:color="D9DDE3"/>
                    <w:left w:val="single" w:sz="4" w:space="0" w:color="D9DDE3"/>
                    <w:bottom w:val="single" w:sz="4" w:space="0" w:color="D9DDE3"/>
                    <w:right w:val="single" w:sz="4" w:space="0" w:color="D9DDE3"/>
                  </w:tcBorders>
                  <w:shd w:val="clear" w:color="auto" w:fill="F2F4F7"/>
                  <w:tcMar>
                    <w:top w:w="55" w:type="dxa"/>
                    <w:left w:w="110" w:type="dxa"/>
                    <w:bottom w:w="55" w:type="dxa"/>
                    <w:right w:w="110" w:type="dxa"/>
                  </w:tcMar>
                </w:tcPr>
                <w:p w14:paraId="2A486142" w14:textId="77777777" w:rsidR="00AC133A" w:rsidRDefault="00000000">
                  <w:pPr>
                    <w:spacing w:before="30" w:after="30"/>
                  </w:pPr>
                  <w:r>
                    <w:rPr>
                      <w:sz w:val="17"/>
                      <w:szCs w:val="17"/>
                    </w:rPr>
                    <w:t>High procurement, integration and maintenance costs; vendor lock-in risk; wrongful-detention legal liability; insurance exposure; private sector reputational risk if associated with misidentification incidents</w:t>
                  </w:r>
                </w:p>
              </w:tc>
              <w:tc>
                <w:tcPr>
                  <w:tcW w:w="1200" w:type="dxa"/>
                  <w:tcBorders>
                    <w:top w:val="single" w:sz="4" w:space="0" w:color="D9DDE3"/>
                    <w:left w:val="single" w:sz="4" w:space="0" w:color="D9DDE3"/>
                    <w:bottom w:val="single" w:sz="4" w:space="0" w:color="D9DDE3"/>
                    <w:right w:val="single" w:sz="4" w:space="0" w:color="D9DDE3"/>
                  </w:tcBorders>
                  <w:shd w:val="clear" w:color="auto" w:fill="F2F4F7"/>
                  <w:tcMar>
                    <w:top w:w="50" w:type="dxa"/>
                    <w:left w:w="80" w:type="dxa"/>
                    <w:bottom w:w="50" w:type="dxa"/>
                    <w:right w:w="80" w:type="dxa"/>
                  </w:tcMar>
                </w:tcPr>
                <w:p w14:paraId="35C7DA13" w14:textId="77777777" w:rsidR="00AC133A" w:rsidRDefault="00000000">
                  <w:pPr>
                    <w:jc w:val="center"/>
                  </w:pPr>
                  <w:r>
                    <w:rPr>
                      <w:b/>
                      <w:bCs/>
                      <w:color w:val="7B4F00"/>
                    </w:rPr>
                    <w:t>M</w:t>
                  </w:r>
                </w:p>
              </w:tc>
            </w:tr>
            <w:tr w:rsidR="00AC133A" w14:paraId="284D5329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300" w:type="dxa"/>
                  <w:tcBorders>
                    <w:top w:val="single" w:sz="4" w:space="0" w:color="D9DDE3"/>
                    <w:left w:val="single" w:sz="4" w:space="0" w:color="D9DDE3"/>
                    <w:bottom w:val="single" w:sz="4" w:space="0" w:color="D9DDE3"/>
                    <w:right w:val="single" w:sz="4" w:space="0" w:color="D9DDE3"/>
                  </w:tcBorders>
                  <w:shd w:val="clear" w:color="auto" w:fill="FFFFFF"/>
                  <w:tcMar>
                    <w:top w:w="55" w:type="dxa"/>
                    <w:left w:w="110" w:type="dxa"/>
                    <w:bottom w:w="55" w:type="dxa"/>
                    <w:right w:w="110" w:type="dxa"/>
                  </w:tcMar>
                </w:tcPr>
                <w:p w14:paraId="2CC105C1" w14:textId="77777777" w:rsidR="00AC133A" w:rsidRDefault="00000000">
                  <w:pPr>
                    <w:spacing w:before="30" w:after="30"/>
                  </w:pPr>
                  <w:r>
                    <w:rPr>
                      <w:sz w:val="17"/>
                      <w:szCs w:val="17"/>
                    </w:rPr>
                    <w:t>Environmental</w:t>
                  </w:r>
                </w:p>
              </w:tc>
              <w:tc>
                <w:tcPr>
                  <w:tcW w:w="3600" w:type="dxa"/>
                  <w:tcBorders>
                    <w:top w:val="single" w:sz="4" w:space="0" w:color="D9DDE3"/>
                    <w:left w:val="single" w:sz="4" w:space="0" w:color="D9DDE3"/>
                    <w:bottom w:val="single" w:sz="4" w:space="0" w:color="D9DDE3"/>
                    <w:right w:val="single" w:sz="4" w:space="0" w:color="D9DDE3"/>
                  </w:tcBorders>
                  <w:shd w:val="clear" w:color="auto" w:fill="FFFFFF"/>
                  <w:tcMar>
                    <w:top w:w="55" w:type="dxa"/>
                    <w:left w:w="110" w:type="dxa"/>
                    <w:bottom w:w="55" w:type="dxa"/>
                    <w:right w:w="110" w:type="dxa"/>
                  </w:tcMar>
                </w:tcPr>
                <w:p w14:paraId="04068114" w14:textId="77777777" w:rsidR="00AC133A" w:rsidRDefault="00000000">
                  <w:pPr>
                    <w:spacing w:before="30" w:after="30"/>
                  </w:pPr>
                  <w:r>
                    <w:rPr>
                      <w:sz w:val="17"/>
                      <w:szCs w:val="17"/>
                    </w:rPr>
                    <w:t>Reduces vehicle and personnel movements required for physical surveillance operations</w:t>
                  </w:r>
                </w:p>
              </w:tc>
              <w:tc>
                <w:tcPr>
                  <w:tcW w:w="3600" w:type="dxa"/>
                  <w:tcBorders>
                    <w:top w:val="single" w:sz="4" w:space="0" w:color="D9DDE3"/>
                    <w:left w:val="single" w:sz="4" w:space="0" w:color="D9DDE3"/>
                    <w:bottom w:val="single" w:sz="4" w:space="0" w:color="D9DDE3"/>
                    <w:right w:val="single" w:sz="4" w:space="0" w:color="D9DDE3"/>
                  </w:tcBorders>
                  <w:shd w:val="clear" w:color="auto" w:fill="FFFFFF"/>
                  <w:tcMar>
                    <w:top w:w="55" w:type="dxa"/>
                    <w:left w:w="110" w:type="dxa"/>
                    <w:bottom w:w="55" w:type="dxa"/>
                    <w:right w:w="110" w:type="dxa"/>
                  </w:tcMar>
                </w:tcPr>
                <w:p w14:paraId="08928614" w14:textId="77777777" w:rsidR="00AC133A" w:rsidRDefault="00000000">
                  <w:pPr>
                    <w:spacing w:before="30" w:after="30"/>
                  </w:pPr>
                  <w:r>
                    <w:rPr>
                      <w:sz w:val="17"/>
                      <w:szCs w:val="17"/>
                    </w:rPr>
                    <w:t>Energy-intensive inference compute and data centre storage; hardware lifecycle and e-waste from camera networks; water use in cooling high-density compute facilities</w:t>
                  </w:r>
                </w:p>
              </w:tc>
              <w:tc>
                <w:tcPr>
                  <w:tcW w:w="1200" w:type="dxa"/>
                  <w:tcBorders>
                    <w:top w:val="single" w:sz="4" w:space="0" w:color="D9DDE3"/>
                    <w:left w:val="single" w:sz="4" w:space="0" w:color="D9DDE3"/>
                    <w:bottom w:val="single" w:sz="4" w:space="0" w:color="D9DDE3"/>
                    <w:right w:val="single" w:sz="4" w:space="0" w:color="D9DDE3"/>
                  </w:tcBorders>
                  <w:shd w:val="clear" w:color="auto" w:fill="FFFFFF"/>
                  <w:tcMar>
                    <w:top w:w="50" w:type="dxa"/>
                    <w:left w:w="80" w:type="dxa"/>
                    <w:bottom w:w="50" w:type="dxa"/>
                    <w:right w:w="80" w:type="dxa"/>
                  </w:tcMar>
                </w:tcPr>
                <w:p w14:paraId="782E6E60" w14:textId="77777777" w:rsidR="00AC133A" w:rsidRDefault="00000000">
                  <w:pPr>
                    <w:jc w:val="center"/>
                  </w:pPr>
                  <w:r>
                    <w:rPr>
                      <w:b/>
                      <w:bCs/>
                      <w:color w:val="8B1A1A"/>
                    </w:rPr>
                    <w:t>L</w:t>
                  </w:r>
                </w:p>
              </w:tc>
            </w:tr>
            <w:tr w:rsidR="00AC133A" w14:paraId="426B76E9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300" w:type="dxa"/>
                  <w:tcBorders>
                    <w:top w:val="single" w:sz="4" w:space="0" w:color="D9DDE3"/>
                    <w:left w:val="single" w:sz="4" w:space="0" w:color="D9DDE3"/>
                    <w:bottom w:val="single" w:sz="4" w:space="0" w:color="D9DDE3"/>
                    <w:right w:val="single" w:sz="4" w:space="0" w:color="D9DDE3"/>
                  </w:tcBorders>
                  <w:shd w:val="clear" w:color="auto" w:fill="F2F4F7"/>
                  <w:tcMar>
                    <w:top w:w="55" w:type="dxa"/>
                    <w:left w:w="110" w:type="dxa"/>
                    <w:bottom w:w="55" w:type="dxa"/>
                    <w:right w:w="110" w:type="dxa"/>
                  </w:tcMar>
                </w:tcPr>
                <w:p w14:paraId="397C1028" w14:textId="77777777" w:rsidR="00AC133A" w:rsidRDefault="00000000">
                  <w:pPr>
                    <w:spacing w:before="30" w:after="30"/>
                  </w:pPr>
                  <w:r>
                    <w:rPr>
                      <w:sz w:val="17"/>
                      <w:szCs w:val="17"/>
                    </w:rPr>
                    <w:t>International &amp; cross-border</w:t>
                  </w:r>
                </w:p>
              </w:tc>
              <w:tc>
                <w:tcPr>
                  <w:tcW w:w="3600" w:type="dxa"/>
                  <w:tcBorders>
                    <w:top w:val="single" w:sz="4" w:space="0" w:color="D9DDE3"/>
                    <w:left w:val="single" w:sz="4" w:space="0" w:color="D9DDE3"/>
                    <w:bottom w:val="single" w:sz="4" w:space="0" w:color="D9DDE3"/>
                    <w:right w:val="single" w:sz="4" w:space="0" w:color="D9DDE3"/>
                  </w:tcBorders>
                  <w:shd w:val="clear" w:color="auto" w:fill="F2F4F7"/>
                  <w:tcMar>
                    <w:top w:w="55" w:type="dxa"/>
                    <w:left w:w="110" w:type="dxa"/>
                    <w:bottom w:w="55" w:type="dxa"/>
                    <w:right w:w="110" w:type="dxa"/>
                  </w:tcMar>
                </w:tcPr>
                <w:p w14:paraId="67849436" w14:textId="77777777" w:rsidR="00AC133A" w:rsidRDefault="00000000">
                  <w:pPr>
                    <w:spacing w:before="30" w:after="30"/>
                  </w:pPr>
                  <w:r>
                    <w:rPr>
                      <w:sz w:val="17"/>
                      <w:szCs w:val="17"/>
                    </w:rPr>
                    <w:t>Aligns with Five Eyes partner practices; potential for sharing wanted-persons databases bilaterally with India under AICCTP framework</w:t>
                  </w:r>
                </w:p>
              </w:tc>
              <w:tc>
                <w:tcPr>
                  <w:tcW w:w="3600" w:type="dxa"/>
                  <w:tcBorders>
                    <w:top w:val="single" w:sz="4" w:space="0" w:color="D9DDE3"/>
                    <w:left w:val="single" w:sz="4" w:space="0" w:color="D9DDE3"/>
                    <w:bottom w:val="single" w:sz="4" w:space="0" w:color="D9DDE3"/>
                    <w:right w:val="single" w:sz="4" w:space="0" w:color="D9DDE3"/>
                  </w:tcBorders>
                  <w:shd w:val="clear" w:color="auto" w:fill="F2F4F7"/>
                  <w:tcMar>
                    <w:top w:w="55" w:type="dxa"/>
                    <w:left w:w="110" w:type="dxa"/>
                    <w:bottom w:w="55" w:type="dxa"/>
                    <w:right w:w="110" w:type="dxa"/>
                  </w:tcMar>
                </w:tcPr>
                <w:p w14:paraId="6436D8F8" w14:textId="77777777" w:rsidR="00AC133A" w:rsidRDefault="00000000">
                  <w:pPr>
                    <w:spacing w:before="30" w:after="30"/>
                  </w:pPr>
                  <w:r>
                    <w:rPr>
                      <w:sz w:val="17"/>
                      <w:szCs w:val="17"/>
                    </w:rPr>
                    <w:t>Cross-border data sharing to states with weaker rights protections creates human rights exposure; undermines credibility of Australian democratic rights advocacy in the Indo-Pacific; may set permissive regional surveillance norms</w:t>
                  </w:r>
                </w:p>
              </w:tc>
              <w:tc>
                <w:tcPr>
                  <w:tcW w:w="1200" w:type="dxa"/>
                  <w:tcBorders>
                    <w:top w:val="single" w:sz="4" w:space="0" w:color="D9DDE3"/>
                    <w:left w:val="single" w:sz="4" w:space="0" w:color="D9DDE3"/>
                    <w:bottom w:val="single" w:sz="4" w:space="0" w:color="D9DDE3"/>
                    <w:right w:val="single" w:sz="4" w:space="0" w:color="D9DDE3"/>
                  </w:tcBorders>
                  <w:shd w:val="clear" w:color="auto" w:fill="F2F4F7"/>
                  <w:tcMar>
                    <w:top w:w="50" w:type="dxa"/>
                    <w:left w:w="80" w:type="dxa"/>
                    <w:bottom w:w="50" w:type="dxa"/>
                    <w:right w:w="80" w:type="dxa"/>
                  </w:tcMar>
                </w:tcPr>
                <w:p w14:paraId="272E9DE1" w14:textId="77777777" w:rsidR="00AC133A" w:rsidRDefault="00000000">
                  <w:pPr>
                    <w:jc w:val="center"/>
                  </w:pPr>
                  <w:r>
                    <w:rPr>
                      <w:b/>
                      <w:bCs/>
                      <w:color w:val="7B4F00"/>
                    </w:rPr>
                    <w:t>M</w:t>
                  </w:r>
                </w:p>
              </w:tc>
            </w:tr>
          </w:tbl>
          <w:p w14:paraId="2FBDAEFF" w14:textId="77777777" w:rsidR="00AC133A" w:rsidRDefault="00AC133A"/>
        </w:tc>
        <w:tc>
          <w:tcPr>
            <w:tcW w:w="1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1AEF4B20" w14:textId="77777777" w:rsidR="00AC133A" w:rsidRDefault="00AC133A">
            <w:pPr>
              <w:spacing w:before="30" w:after="30"/>
            </w:pPr>
          </w:p>
        </w:tc>
        <w:tc>
          <w:tcPr>
            <w:tcW w:w="4678" w:type="dxa"/>
            <w:tcBorders>
              <w:top w:val="single" w:sz="4" w:space="0" w:color="D9DDE3"/>
              <w:left w:val="single" w:sz="8" w:space="0" w:color="1A6B6B"/>
              <w:bottom w:val="single" w:sz="4" w:space="0" w:color="D9DDE3"/>
              <w:right w:val="single" w:sz="4" w:space="0" w:color="D9DDE3"/>
            </w:tcBorders>
            <w:shd w:val="clear" w:color="auto" w:fill="F2F4F7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921BFF9" w14:textId="77777777" w:rsidR="00AC133A" w:rsidRDefault="00000000">
            <w:pPr>
              <w:spacing w:before="30" w:after="30"/>
            </w:pPr>
            <w:r>
              <w:rPr>
                <w:b/>
                <w:bCs/>
                <w:color w:val="1A6B6B"/>
                <w:sz w:val="16"/>
                <w:szCs w:val="16"/>
              </w:rPr>
              <w:t>Equity note:</w:t>
            </w:r>
          </w:p>
          <w:p w14:paraId="4ECE99E2" w14:textId="77777777" w:rsidR="00AC133A" w:rsidRDefault="00000000">
            <w:pPr>
              <w:spacing w:before="30" w:after="30"/>
            </w:pPr>
            <w:r>
              <w:rPr>
                <w:sz w:val="16"/>
                <w:szCs w:val="16"/>
              </w:rPr>
              <w:t>Indigenous Australians face significantly higher false-positive risk given lower representation in training data. This is the group most likely to be wrongly detained.</w:t>
            </w:r>
          </w:p>
          <w:p w14:paraId="66F2588D" w14:textId="77777777" w:rsidR="00AC133A" w:rsidRDefault="00AC133A">
            <w:pPr>
              <w:spacing w:before="30" w:after="30"/>
            </w:pPr>
          </w:p>
          <w:p w14:paraId="7A3C172D" w14:textId="77777777" w:rsidR="00AC133A" w:rsidRDefault="00000000">
            <w:pPr>
              <w:spacing w:before="30" w:after="30"/>
            </w:pPr>
            <w:r>
              <w:rPr>
                <w:b/>
                <w:bCs/>
                <w:color w:val="1A6B6B"/>
                <w:sz w:val="16"/>
                <w:szCs w:val="16"/>
              </w:rPr>
              <w:t>Confidence key:</w:t>
            </w:r>
          </w:p>
          <w:p w14:paraId="6E520026" w14:textId="77777777" w:rsidR="00AC133A" w:rsidRDefault="00000000">
            <w:pPr>
              <w:spacing w:before="30" w:after="30"/>
            </w:pPr>
            <w:r>
              <w:rPr>
                <w:b/>
                <w:bCs/>
                <w:color w:val="1A5C2A"/>
                <w:sz w:val="17"/>
                <w:szCs w:val="17"/>
              </w:rPr>
              <w:t>H</w:t>
            </w:r>
            <w:r>
              <w:rPr>
                <w:sz w:val="16"/>
                <w:szCs w:val="16"/>
              </w:rPr>
              <w:t xml:space="preserve"> Strong evidence (peer-reviewed / govt studies)</w:t>
            </w:r>
          </w:p>
          <w:p w14:paraId="5ADC93BC" w14:textId="77777777" w:rsidR="00AC133A" w:rsidRDefault="00000000">
            <w:pPr>
              <w:spacing w:before="30" w:after="30"/>
            </w:pPr>
            <w:r>
              <w:rPr>
                <w:b/>
                <w:bCs/>
                <w:color w:val="7B4F00"/>
                <w:sz w:val="17"/>
                <w:szCs w:val="17"/>
              </w:rPr>
              <w:t>M</w:t>
            </w:r>
            <w:r>
              <w:rPr>
                <w:sz w:val="16"/>
                <w:szCs w:val="16"/>
              </w:rPr>
              <w:t xml:space="preserve"> Partial evidence (analogous cases)</w:t>
            </w:r>
          </w:p>
          <w:p w14:paraId="5B1C7CB8" w14:textId="77777777" w:rsidR="00AC133A" w:rsidRDefault="00000000">
            <w:pPr>
              <w:spacing w:before="30" w:after="30"/>
            </w:pPr>
            <w:r>
              <w:rPr>
                <w:b/>
                <w:bCs/>
                <w:color w:val="8B1A1A"/>
                <w:sz w:val="17"/>
                <w:szCs w:val="17"/>
              </w:rPr>
              <w:t>L</w:t>
            </w:r>
            <w:r>
              <w:rPr>
                <w:sz w:val="16"/>
                <w:szCs w:val="16"/>
              </w:rPr>
              <w:t xml:space="preserve"> Assumption / estimate only</w:t>
            </w:r>
          </w:p>
          <w:p w14:paraId="6EE98E7C" w14:textId="77777777" w:rsidR="00AC133A" w:rsidRDefault="00AC133A">
            <w:pPr>
              <w:spacing w:before="30" w:after="30"/>
            </w:pPr>
          </w:p>
          <w:p w14:paraId="110C1D9E" w14:textId="77777777" w:rsidR="00AC133A" w:rsidRDefault="00000000">
            <w:pPr>
              <w:spacing w:before="30" w:after="30"/>
            </w:pPr>
            <w:r>
              <w:rPr>
                <w:b/>
                <w:bCs/>
                <w:color w:val="1A6B6B"/>
                <w:sz w:val="16"/>
                <w:szCs w:val="16"/>
              </w:rPr>
              <w:t>Key question:</w:t>
            </w:r>
          </w:p>
          <w:p w14:paraId="18D8DF89" w14:textId="77777777" w:rsidR="00AC133A" w:rsidRDefault="00000000">
            <w:pPr>
              <w:spacing w:before="30" w:after="30"/>
            </w:pPr>
            <w:r>
              <w:rPr>
                <w:i/>
                <w:iCs/>
                <w:sz w:val="16"/>
                <w:szCs w:val="16"/>
              </w:rPr>
              <w:t>Does apprehending one fugitive justify surveillance of 100,000 innocent people without consent?</w:t>
            </w:r>
          </w:p>
        </w:tc>
      </w:tr>
    </w:tbl>
    <w:p w14:paraId="68F978D6" w14:textId="77777777" w:rsidR="00AC133A" w:rsidRDefault="00AC133A">
      <w:pPr>
        <w:spacing w:before="90"/>
      </w:pPr>
    </w:p>
    <w:tbl>
      <w:tblPr>
        <w:tblW w:w="155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00"/>
        <w:gridCol w:w="6400"/>
        <w:gridCol w:w="6338"/>
      </w:tblGrid>
      <w:tr w:rsidR="00AC133A" w14:paraId="48D045A7" w14:textId="77777777">
        <w:tblPrEx>
          <w:tblCellMar>
            <w:top w:w="0" w:type="dxa"/>
            <w:bottom w:w="0" w:type="dxa"/>
          </w:tblCellMar>
        </w:tblPrEx>
        <w:tc>
          <w:tcPr>
            <w:tcW w:w="15538" w:type="dxa"/>
            <w:gridSpan w:val="3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A6B6B"/>
            <w:tcMar>
              <w:top w:w="55" w:type="dxa"/>
              <w:left w:w="120" w:type="dxa"/>
              <w:bottom w:w="55" w:type="dxa"/>
              <w:right w:w="120" w:type="dxa"/>
            </w:tcMar>
          </w:tcPr>
          <w:p w14:paraId="459D90FE" w14:textId="77777777" w:rsidR="00AC133A" w:rsidRDefault="00000000">
            <w:pPr>
              <w:spacing w:before="30" w:after="30"/>
            </w:pPr>
            <w:r>
              <w:rPr>
                <w:b/>
                <w:bCs/>
                <w:color w:val="FFFFFF"/>
                <w:sz w:val="19"/>
                <w:szCs w:val="19"/>
              </w:rPr>
              <w:t>PART C — STAKEHOLDERS    Map who is affected, who has expertise, and who must be consulted.</w:t>
            </w:r>
          </w:p>
        </w:tc>
      </w:tr>
      <w:tr w:rsidR="00AC133A" w14:paraId="6099DA25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4" w:space="0" w:color="D9DDE3"/>
              <w:left w:val="single" w:sz="4" w:space="0" w:color="D9DDE3"/>
              <w:bottom w:val="single" w:sz="4" w:space="0" w:color="D9DDE3"/>
              <w:right w:val="single" w:sz="4" w:space="0" w:color="D9DDE3"/>
            </w:tcBorders>
            <w:shd w:val="clear" w:color="auto" w:fill="1B3A6B"/>
            <w:tcMar>
              <w:top w:w="55" w:type="dxa"/>
              <w:left w:w="110" w:type="dxa"/>
              <w:bottom w:w="55" w:type="dxa"/>
              <w:right w:w="110" w:type="dxa"/>
            </w:tcMar>
          </w:tcPr>
          <w:p w14:paraId="790CE84A" w14:textId="77777777" w:rsidR="00AC133A" w:rsidRDefault="00000000">
            <w:pPr>
              <w:spacing w:before="30" w:after="30"/>
            </w:pPr>
            <w:r>
              <w:rPr>
                <w:b/>
                <w:bCs/>
                <w:color w:val="FFFFFF"/>
                <w:sz w:val="17"/>
                <w:szCs w:val="17"/>
              </w:rPr>
              <w:t>Group</w:t>
            </w:r>
          </w:p>
        </w:tc>
        <w:tc>
          <w:tcPr>
            <w:tcW w:w="6400" w:type="dxa"/>
            <w:tcBorders>
              <w:top w:val="single" w:sz="4" w:space="0" w:color="D9DDE3"/>
              <w:left w:val="single" w:sz="4" w:space="0" w:color="D9DDE3"/>
              <w:bottom w:val="single" w:sz="4" w:space="0" w:color="D9DDE3"/>
              <w:right w:val="single" w:sz="4" w:space="0" w:color="D9DDE3"/>
            </w:tcBorders>
            <w:shd w:val="clear" w:color="auto" w:fill="1B3A6B"/>
            <w:tcMar>
              <w:top w:w="55" w:type="dxa"/>
              <w:left w:w="110" w:type="dxa"/>
              <w:bottom w:w="55" w:type="dxa"/>
              <w:right w:w="110" w:type="dxa"/>
            </w:tcMar>
          </w:tcPr>
          <w:p w14:paraId="7F3849CD" w14:textId="77777777" w:rsidR="00AC133A" w:rsidRDefault="00000000">
            <w:pPr>
              <w:spacing w:before="30" w:after="30"/>
            </w:pPr>
            <w:r>
              <w:rPr>
                <w:b/>
                <w:bCs/>
                <w:color w:val="FFFFFF"/>
                <w:sz w:val="17"/>
                <w:szCs w:val="17"/>
              </w:rPr>
              <w:t>Key interests or concerns</w:t>
            </w:r>
          </w:p>
        </w:tc>
        <w:tc>
          <w:tcPr>
            <w:tcW w:w="6038" w:type="dxa"/>
            <w:tcBorders>
              <w:top w:val="single" w:sz="4" w:space="0" w:color="D9DDE3"/>
              <w:left w:val="single" w:sz="4" w:space="0" w:color="D9DDE3"/>
              <w:bottom w:val="single" w:sz="4" w:space="0" w:color="D9DDE3"/>
              <w:right w:val="single" w:sz="4" w:space="0" w:color="D9DDE3"/>
            </w:tcBorders>
            <w:shd w:val="clear" w:color="auto" w:fill="1B3A6B"/>
            <w:tcMar>
              <w:top w:w="55" w:type="dxa"/>
              <w:left w:w="110" w:type="dxa"/>
              <w:bottom w:w="55" w:type="dxa"/>
              <w:right w:w="110" w:type="dxa"/>
            </w:tcMar>
          </w:tcPr>
          <w:p w14:paraId="2D744578" w14:textId="77777777" w:rsidR="00AC133A" w:rsidRDefault="00000000">
            <w:pPr>
              <w:spacing w:before="30" w:after="30"/>
            </w:pPr>
            <w:r>
              <w:rPr>
                <w:b/>
                <w:bCs/>
                <w:color w:val="FFFFFF"/>
                <w:sz w:val="17"/>
                <w:szCs w:val="17"/>
              </w:rPr>
              <w:t>How consulted / planned</w:t>
            </w:r>
          </w:p>
        </w:tc>
      </w:tr>
      <w:tr w:rsidR="00AC133A" w14:paraId="18061FCE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4" w:space="0" w:color="D9DDE3"/>
              <w:left w:val="single" w:sz="4" w:space="0" w:color="D9DDE3"/>
              <w:bottom w:val="single" w:sz="4" w:space="0" w:color="D9DDE3"/>
              <w:right w:val="single" w:sz="4" w:space="0" w:color="D9DDE3"/>
            </w:tcBorders>
            <w:shd w:val="clear" w:color="auto" w:fill="FFFFFF"/>
            <w:tcMar>
              <w:top w:w="50" w:type="dxa"/>
              <w:left w:w="110" w:type="dxa"/>
              <w:bottom w:w="50" w:type="dxa"/>
              <w:right w:w="110" w:type="dxa"/>
            </w:tcMar>
          </w:tcPr>
          <w:p w14:paraId="09529736" w14:textId="77777777" w:rsidR="00AC133A" w:rsidRDefault="00000000">
            <w:pPr>
              <w:spacing w:before="30" w:after="30"/>
            </w:pPr>
            <w:r>
              <w:rPr>
                <w:sz w:val="16"/>
                <w:szCs w:val="16"/>
              </w:rPr>
              <w:t>Government agencies (Home Affairs, AFP, State Police, OAIC, Attorney-General)</w:t>
            </w:r>
          </w:p>
        </w:tc>
        <w:tc>
          <w:tcPr>
            <w:tcW w:w="6400" w:type="dxa"/>
            <w:tcBorders>
              <w:top w:val="single" w:sz="4" w:space="0" w:color="D9DDE3"/>
              <w:left w:val="single" w:sz="4" w:space="0" w:color="D9DDE3"/>
              <w:bottom w:val="single" w:sz="4" w:space="0" w:color="D9DDE3"/>
              <w:right w:val="single" w:sz="4" w:space="0" w:color="D9DDE3"/>
            </w:tcBorders>
            <w:shd w:val="clear" w:color="auto" w:fill="FFFFFF"/>
            <w:tcMar>
              <w:top w:w="50" w:type="dxa"/>
              <w:left w:w="110" w:type="dxa"/>
              <w:bottom w:w="50" w:type="dxa"/>
              <w:right w:w="110" w:type="dxa"/>
            </w:tcMar>
          </w:tcPr>
          <w:p w14:paraId="407F96F5" w14:textId="77777777" w:rsidR="00AC133A" w:rsidRDefault="00000000">
            <w:pPr>
              <w:spacing w:before="30" w:after="30"/>
            </w:pPr>
            <w:r>
              <w:rPr>
                <w:sz w:val="16"/>
                <w:szCs w:val="16"/>
              </w:rPr>
              <w:t>Operational effectiveness; legal compliance; public accountability; liability management; jurisdictional coordination between federal and state police</w:t>
            </w:r>
          </w:p>
        </w:tc>
        <w:tc>
          <w:tcPr>
            <w:tcW w:w="6038" w:type="dxa"/>
            <w:tcBorders>
              <w:top w:val="single" w:sz="4" w:space="0" w:color="D9DDE3"/>
              <w:left w:val="single" w:sz="4" w:space="0" w:color="D9DDE3"/>
              <w:bottom w:val="single" w:sz="4" w:space="0" w:color="D9DDE3"/>
              <w:right w:val="single" w:sz="4" w:space="0" w:color="D9DDE3"/>
            </w:tcBorders>
            <w:shd w:val="clear" w:color="auto" w:fill="FFFFFF"/>
            <w:tcMar>
              <w:top w:w="50" w:type="dxa"/>
              <w:left w:w="110" w:type="dxa"/>
              <w:bottom w:w="50" w:type="dxa"/>
              <w:right w:w="110" w:type="dxa"/>
            </w:tcMar>
          </w:tcPr>
          <w:p w14:paraId="79CF1283" w14:textId="77777777" w:rsidR="00AC133A" w:rsidRDefault="00000000">
            <w:pPr>
              <w:spacing w:before="30" w:after="30"/>
            </w:pPr>
            <w:r>
              <w:rPr>
                <w:sz w:val="16"/>
                <w:szCs w:val="16"/>
              </w:rPr>
              <w:t>Inter-agency working group; legal counsel review; Privacy Impact Assessment commissioned by OAIC</w:t>
            </w:r>
          </w:p>
        </w:tc>
      </w:tr>
      <w:tr w:rsidR="00AC133A" w14:paraId="7EA271AA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4" w:space="0" w:color="D9DDE3"/>
              <w:left w:val="single" w:sz="4" w:space="0" w:color="D9DDE3"/>
              <w:bottom w:val="single" w:sz="4" w:space="0" w:color="D9DDE3"/>
              <w:right w:val="single" w:sz="4" w:space="0" w:color="D9DDE3"/>
            </w:tcBorders>
            <w:shd w:val="clear" w:color="auto" w:fill="F2F4F7"/>
            <w:tcMar>
              <w:top w:w="50" w:type="dxa"/>
              <w:left w:w="110" w:type="dxa"/>
              <w:bottom w:w="50" w:type="dxa"/>
              <w:right w:w="110" w:type="dxa"/>
            </w:tcMar>
          </w:tcPr>
          <w:p w14:paraId="3DFEF12F" w14:textId="77777777" w:rsidR="00AC133A" w:rsidRDefault="00000000">
            <w:pPr>
              <w:spacing w:before="30" w:after="30"/>
            </w:pPr>
            <w:r>
              <w:rPr>
                <w:sz w:val="16"/>
                <w:szCs w:val="16"/>
              </w:rPr>
              <w:t xml:space="preserve">Industry / vendors (NEC, </w:t>
            </w:r>
            <w:proofErr w:type="spellStart"/>
            <w:r>
              <w:rPr>
                <w:sz w:val="16"/>
                <w:szCs w:val="16"/>
              </w:rPr>
              <w:t>Idemia</w:t>
            </w:r>
            <w:proofErr w:type="spellEnd"/>
            <w:r>
              <w:rPr>
                <w:sz w:val="16"/>
                <w:szCs w:val="16"/>
              </w:rPr>
              <w:t>, international facial recognition providers)</w:t>
            </w:r>
          </w:p>
        </w:tc>
        <w:tc>
          <w:tcPr>
            <w:tcW w:w="6400" w:type="dxa"/>
            <w:tcBorders>
              <w:top w:val="single" w:sz="4" w:space="0" w:color="D9DDE3"/>
              <w:left w:val="single" w:sz="4" w:space="0" w:color="D9DDE3"/>
              <w:bottom w:val="single" w:sz="4" w:space="0" w:color="D9DDE3"/>
              <w:right w:val="single" w:sz="4" w:space="0" w:color="D9DDE3"/>
            </w:tcBorders>
            <w:shd w:val="clear" w:color="auto" w:fill="F2F4F7"/>
            <w:tcMar>
              <w:top w:w="50" w:type="dxa"/>
              <w:left w:w="110" w:type="dxa"/>
              <w:bottom w:w="50" w:type="dxa"/>
              <w:right w:w="110" w:type="dxa"/>
            </w:tcMar>
          </w:tcPr>
          <w:p w14:paraId="78777F9F" w14:textId="77777777" w:rsidR="00AC133A" w:rsidRDefault="00000000">
            <w:pPr>
              <w:spacing w:before="30" w:after="30"/>
            </w:pPr>
            <w:r>
              <w:rPr>
                <w:sz w:val="16"/>
                <w:szCs w:val="16"/>
              </w:rPr>
              <w:t>Contract opportunities; demonstrating accuracy claims; limiting liability for misidentification; managing reputational risk from deployment failures</w:t>
            </w:r>
          </w:p>
        </w:tc>
        <w:tc>
          <w:tcPr>
            <w:tcW w:w="6038" w:type="dxa"/>
            <w:tcBorders>
              <w:top w:val="single" w:sz="4" w:space="0" w:color="D9DDE3"/>
              <w:left w:val="single" w:sz="4" w:space="0" w:color="D9DDE3"/>
              <w:bottom w:val="single" w:sz="4" w:space="0" w:color="D9DDE3"/>
              <w:right w:val="single" w:sz="4" w:space="0" w:color="D9DDE3"/>
            </w:tcBorders>
            <w:shd w:val="clear" w:color="auto" w:fill="F2F4F7"/>
            <w:tcMar>
              <w:top w:w="50" w:type="dxa"/>
              <w:left w:w="110" w:type="dxa"/>
              <w:bottom w:w="50" w:type="dxa"/>
              <w:right w:w="110" w:type="dxa"/>
            </w:tcMar>
          </w:tcPr>
          <w:p w14:paraId="1B67F804" w14:textId="77777777" w:rsidR="00AC133A" w:rsidRDefault="00000000">
            <w:pPr>
              <w:spacing w:before="30" w:after="30"/>
            </w:pPr>
            <w:r>
              <w:rPr>
                <w:sz w:val="16"/>
                <w:szCs w:val="16"/>
              </w:rPr>
              <w:t>Procurement process with mandatory accuracy disclosure; independent testing of vendor performance claims; supply-chain provenance audit</w:t>
            </w:r>
          </w:p>
        </w:tc>
      </w:tr>
      <w:tr w:rsidR="00AC133A" w14:paraId="25137BBC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4" w:space="0" w:color="D9DDE3"/>
              <w:left w:val="single" w:sz="4" w:space="0" w:color="D9DDE3"/>
              <w:bottom w:val="single" w:sz="4" w:space="0" w:color="D9DDE3"/>
              <w:right w:val="single" w:sz="4" w:space="0" w:color="D9DDE3"/>
            </w:tcBorders>
            <w:shd w:val="clear" w:color="auto" w:fill="FFFFFF"/>
            <w:tcMar>
              <w:top w:w="50" w:type="dxa"/>
              <w:left w:w="110" w:type="dxa"/>
              <w:bottom w:w="50" w:type="dxa"/>
              <w:right w:w="110" w:type="dxa"/>
            </w:tcMar>
          </w:tcPr>
          <w:p w14:paraId="38EF7A26" w14:textId="77777777" w:rsidR="00AC133A" w:rsidRDefault="00000000">
            <w:pPr>
              <w:spacing w:before="30" w:after="30"/>
            </w:pPr>
            <w:r>
              <w:rPr>
                <w:sz w:val="16"/>
                <w:szCs w:val="16"/>
              </w:rPr>
              <w:t>Technical specialists (Computer vision researchers, biometrics experts, NIST)</w:t>
            </w:r>
          </w:p>
        </w:tc>
        <w:tc>
          <w:tcPr>
            <w:tcW w:w="6400" w:type="dxa"/>
            <w:tcBorders>
              <w:top w:val="single" w:sz="4" w:space="0" w:color="D9DDE3"/>
              <w:left w:val="single" w:sz="4" w:space="0" w:color="D9DDE3"/>
              <w:bottom w:val="single" w:sz="4" w:space="0" w:color="D9DDE3"/>
              <w:right w:val="single" w:sz="4" w:space="0" w:color="D9DDE3"/>
            </w:tcBorders>
            <w:shd w:val="clear" w:color="auto" w:fill="FFFFFF"/>
            <w:tcMar>
              <w:top w:w="50" w:type="dxa"/>
              <w:left w:w="110" w:type="dxa"/>
              <w:bottom w:w="50" w:type="dxa"/>
              <w:right w:w="110" w:type="dxa"/>
            </w:tcMar>
          </w:tcPr>
          <w:p w14:paraId="562DD327" w14:textId="77777777" w:rsidR="00AC133A" w:rsidRDefault="00000000">
            <w:pPr>
              <w:spacing w:before="30" w:after="30"/>
            </w:pPr>
            <w:r>
              <w:rPr>
                <w:sz w:val="16"/>
                <w:szCs w:val="16"/>
              </w:rPr>
              <w:t>Accuracy and bias in real-world conditions; robustness to adversarial conditions (masks, hats, poor light); data security and model drift over time</w:t>
            </w:r>
          </w:p>
        </w:tc>
        <w:tc>
          <w:tcPr>
            <w:tcW w:w="6038" w:type="dxa"/>
            <w:tcBorders>
              <w:top w:val="single" w:sz="4" w:space="0" w:color="D9DDE3"/>
              <w:left w:val="single" w:sz="4" w:space="0" w:color="D9DDE3"/>
              <w:bottom w:val="single" w:sz="4" w:space="0" w:color="D9DDE3"/>
              <w:right w:val="single" w:sz="4" w:space="0" w:color="D9DDE3"/>
            </w:tcBorders>
            <w:shd w:val="clear" w:color="auto" w:fill="FFFFFF"/>
            <w:tcMar>
              <w:top w:w="50" w:type="dxa"/>
              <w:left w:w="110" w:type="dxa"/>
              <w:bottom w:w="50" w:type="dxa"/>
              <w:right w:w="110" w:type="dxa"/>
            </w:tcMar>
          </w:tcPr>
          <w:p w14:paraId="370A66B8" w14:textId="77777777" w:rsidR="00AC133A" w:rsidRDefault="00000000">
            <w:pPr>
              <w:spacing w:before="30" w:after="30"/>
            </w:pPr>
            <w:r>
              <w:rPr>
                <w:sz w:val="16"/>
                <w:szCs w:val="16"/>
              </w:rPr>
              <w:t>Independent technical review panel prior to procurement; NIST-standard testing disaggregated by demographic group; ongoing algorithmic audit</w:t>
            </w:r>
          </w:p>
        </w:tc>
      </w:tr>
      <w:tr w:rsidR="00AC133A" w14:paraId="2DC6879B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4" w:space="0" w:color="D9DDE3"/>
              <w:left w:val="single" w:sz="4" w:space="0" w:color="D9DDE3"/>
              <w:bottom w:val="single" w:sz="4" w:space="0" w:color="D9DDE3"/>
              <w:right w:val="single" w:sz="4" w:space="0" w:color="D9DDE3"/>
            </w:tcBorders>
            <w:shd w:val="clear" w:color="auto" w:fill="F2F4F7"/>
            <w:tcMar>
              <w:top w:w="50" w:type="dxa"/>
              <w:left w:w="110" w:type="dxa"/>
              <w:bottom w:w="50" w:type="dxa"/>
              <w:right w:w="110" w:type="dxa"/>
            </w:tcMar>
          </w:tcPr>
          <w:p w14:paraId="777E9B6F" w14:textId="77777777" w:rsidR="00AC133A" w:rsidRDefault="00000000">
            <w:pPr>
              <w:spacing w:before="30" w:after="30"/>
            </w:pPr>
            <w:r>
              <w:rPr>
                <w:sz w:val="16"/>
                <w:szCs w:val="16"/>
              </w:rPr>
              <w:t>Academia (Law, criminology, AI ethics, surveillance studies)</w:t>
            </w:r>
          </w:p>
        </w:tc>
        <w:tc>
          <w:tcPr>
            <w:tcW w:w="6400" w:type="dxa"/>
            <w:tcBorders>
              <w:top w:val="single" w:sz="4" w:space="0" w:color="D9DDE3"/>
              <w:left w:val="single" w:sz="4" w:space="0" w:color="D9DDE3"/>
              <w:bottom w:val="single" w:sz="4" w:space="0" w:color="D9DDE3"/>
              <w:right w:val="single" w:sz="4" w:space="0" w:color="D9DDE3"/>
            </w:tcBorders>
            <w:shd w:val="clear" w:color="auto" w:fill="F2F4F7"/>
            <w:tcMar>
              <w:top w:w="50" w:type="dxa"/>
              <w:left w:w="110" w:type="dxa"/>
              <w:bottom w:w="50" w:type="dxa"/>
              <w:right w:w="110" w:type="dxa"/>
            </w:tcMar>
          </w:tcPr>
          <w:p w14:paraId="4F1DDDBF" w14:textId="77777777" w:rsidR="00AC133A" w:rsidRDefault="00000000">
            <w:pPr>
              <w:spacing w:before="30" w:after="30"/>
            </w:pPr>
            <w:r>
              <w:rPr>
                <w:sz w:val="16"/>
                <w:szCs w:val="16"/>
              </w:rPr>
              <w:t>Civil liberties implications; function creep evidence from other jurisdictions; research independence; effectiveness evidence vs. stated claims</w:t>
            </w:r>
          </w:p>
        </w:tc>
        <w:tc>
          <w:tcPr>
            <w:tcW w:w="6038" w:type="dxa"/>
            <w:tcBorders>
              <w:top w:val="single" w:sz="4" w:space="0" w:color="D9DDE3"/>
              <w:left w:val="single" w:sz="4" w:space="0" w:color="D9DDE3"/>
              <w:bottom w:val="single" w:sz="4" w:space="0" w:color="D9DDE3"/>
              <w:right w:val="single" w:sz="4" w:space="0" w:color="D9DDE3"/>
            </w:tcBorders>
            <w:shd w:val="clear" w:color="auto" w:fill="F2F4F7"/>
            <w:tcMar>
              <w:top w:w="50" w:type="dxa"/>
              <w:left w:w="110" w:type="dxa"/>
              <w:bottom w:w="50" w:type="dxa"/>
              <w:right w:w="110" w:type="dxa"/>
            </w:tcMar>
          </w:tcPr>
          <w:p w14:paraId="47D0BBEE" w14:textId="77777777" w:rsidR="00AC133A" w:rsidRDefault="00000000">
            <w:pPr>
              <w:spacing w:before="30" w:after="30"/>
            </w:pPr>
            <w:r>
              <w:rPr>
                <w:sz w:val="16"/>
                <w:szCs w:val="16"/>
              </w:rPr>
              <w:t>Academic advisory group; peer-reviewed effectiveness evaluation; commissioned comparative study of UK, US and Australian deployments</w:t>
            </w:r>
          </w:p>
        </w:tc>
      </w:tr>
      <w:tr w:rsidR="00AC133A" w14:paraId="24206890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4" w:space="0" w:color="D9DDE3"/>
              <w:left w:val="single" w:sz="4" w:space="0" w:color="D9DDE3"/>
              <w:bottom w:val="single" w:sz="4" w:space="0" w:color="D9DDE3"/>
              <w:right w:val="single" w:sz="4" w:space="0" w:color="D9DDE3"/>
            </w:tcBorders>
            <w:shd w:val="clear" w:color="auto" w:fill="FFFFFF"/>
            <w:tcMar>
              <w:top w:w="50" w:type="dxa"/>
              <w:left w:w="110" w:type="dxa"/>
              <w:bottom w:w="50" w:type="dxa"/>
              <w:right w:w="110" w:type="dxa"/>
            </w:tcMar>
          </w:tcPr>
          <w:p w14:paraId="344D1F99" w14:textId="77777777" w:rsidR="00AC133A" w:rsidRDefault="00000000">
            <w:pPr>
              <w:spacing w:before="30" w:after="30"/>
            </w:pPr>
            <w:r>
              <w:rPr>
                <w:sz w:val="16"/>
                <w:szCs w:val="16"/>
              </w:rPr>
              <w:t>Civil society (Digital Rights Watch, Human Rights Law Centre, legal aid bodies)</w:t>
            </w:r>
          </w:p>
        </w:tc>
        <w:tc>
          <w:tcPr>
            <w:tcW w:w="6400" w:type="dxa"/>
            <w:tcBorders>
              <w:top w:val="single" w:sz="4" w:space="0" w:color="D9DDE3"/>
              <w:left w:val="single" w:sz="4" w:space="0" w:color="D9DDE3"/>
              <w:bottom w:val="single" w:sz="4" w:space="0" w:color="D9DDE3"/>
              <w:right w:val="single" w:sz="4" w:space="0" w:color="D9DDE3"/>
            </w:tcBorders>
            <w:shd w:val="clear" w:color="auto" w:fill="FFFFFF"/>
            <w:tcMar>
              <w:top w:w="50" w:type="dxa"/>
              <w:left w:w="110" w:type="dxa"/>
              <w:bottom w:w="50" w:type="dxa"/>
              <w:right w:w="110" w:type="dxa"/>
            </w:tcMar>
          </w:tcPr>
          <w:p w14:paraId="0DC205B4" w14:textId="77777777" w:rsidR="00AC133A" w:rsidRDefault="00000000">
            <w:pPr>
              <w:spacing w:before="30" w:after="30"/>
            </w:pPr>
            <w:r>
              <w:rPr>
                <w:sz w:val="16"/>
                <w:szCs w:val="16"/>
              </w:rPr>
              <w:t>Mass surveillance normalisation; democratic rights erosion; wrongful-detention risk; absence of legislative safeguards; lack of consent or transparency</w:t>
            </w:r>
          </w:p>
        </w:tc>
        <w:tc>
          <w:tcPr>
            <w:tcW w:w="6038" w:type="dxa"/>
            <w:tcBorders>
              <w:top w:val="single" w:sz="4" w:space="0" w:color="D9DDE3"/>
              <w:left w:val="single" w:sz="4" w:space="0" w:color="D9DDE3"/>
              <w:bottom w:val="single" w:sz="4" w:space="0" w:color="D9DDE3"/>
              <w:right w:val="single" w:sz="4" w:space="0" w:color="D9DDE3"/>
            </w:tcBorders>
            <w:shd w:val="clear" w:color="auto" w:fill="FFFFFF"/>
            <w:tcMar>
              <w:top w:w="50" w:type="dxa"/>
              <w:left w:w="110" w:type="dxa"/>
              <w:bottom w:w="50" w:type="dxa"/>
              <w:right w:w="110" w:type="dxa"/>
            </w:tcMar>
          </w:tcPr>
          <w:p w14:paraId="67618B0D" w14:textId="77777777" w:rsidR="00AC133A" w:rsidRDefault="00000000">
            <w:pPr>
              <w:spacing w:before="30" w:after="30"/>
            </w:pPr>
            <w:r>
              <w:rPr>
                <w:sz w:val="16"/>
                <w:szCs w:val="16"/>
              </w:rPr>
              <w:t>Public consultation process; representation on oversight body; access to aggregated performance data; right to challenge use-case decisions</w:t>
            </w:r>
          </w:p>
        </w:tc>
      </w:tr>
      <w:tr w:rsidR="00AC133A" w14:paraId="5C3E8323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4" w:space="0" w:color="D9DDE3"/>
              <w:left w:val="single" w:sz="4" w:space="0" w:color="D9DDE3"/>
              <w:bottom w:val="single" w:sz="4" w:space="0" w:color="D9DDE3"/>
              <w:right w:val="single" w:sz="4" w:space="0" w:color="D9DDE3"/>
            </w:tcBorders>
            <w:shd w:val="clear" w:color="auto" w:fill="F2F4F7"/>
            <w:tcMar>
              <w:top w:w="50" w:type="dxa"/>
              <w:left w:w="110" w:type="dxa"/>
              <w:bottom w:w="50" w:type="dxa"/>
              <w:right w:w="110" w:type="dxa"/>
            </w:tcMar>
          </w:tcPr>
          <w:p w14:paraId="0A5812F0" w14:textId="77777777" w:rsidR="00AC133A" w:rsidRDefault="00000000">
            <w:pPr>
              <w:spacing w:before="30" w:after="30"/>
            </w:pPr>
            <w:r>
              <w:rPr>
                <w:sz w:val="16"/>
                <w:szCs w:val="16"/>
              </w:rPr>
              <w:t>Affected communities (Indigenous Australians, people of colour, journalists, activists)</w:t>
            </w:r>
          </w:p>
        </w:tc>
        <w:tc>
          <w:tcPr>
            <w:tcW w:w="6400" w:type="dxa"/>
            <w:tcBorders>
              <w:top w:val="single" w:sz="4" w:space="0" w:color="D9DDE3"/>
              <w:left w:val="single" w:sz="4" w:space="0" w:color="D9DDE3"/>
              <w:bottom w:val="single" w:sz="4" w:space="0" w:color="D9DDE3"/>
              <w:right w:val="single" w:sz="4" w:space="0" w:color="D9DDE3"/>
            </w:tcBorders>
            <w:shd w:val="clear" w:color="auto" w:fill="F2F4F7"/>
            <w:tcMar>
              <w:top w:w="50" w:type="dxa"/>
              <w:left w:w="110" w:type="dxa"/>
              <w:bottom w:w="50" w:type="dxa"/>
              <w:right w:w="110" w:type="dxa"/>
            </w:tcMar>
          </w:tcPr>
          <w:p w14:paraId="6FDB449F" w14:textId="77777777" w:rsidR="00AC133A" w:rsidRDefault="00000000">
            <w:pPr>
              <w:spacing w:before="30" w:after="30"/>
            </w:pPr>
            <w:r>
              <w:rPr>
                <w:sz w:val="16"/>
                <w:szCs w:val="16"/>
              </w:rPr>
              <w:t>Disproportionate targeting and false-positive risk; chilling effect on lawful activity; wrongful detention; lack of redress mechanisms</w:t>
            </w:r>
          </w:p>
        </w:tc>
        <w:tc>
          <w:tcPr>
            <w:tcW w:w="6038" w:type="dxa"/>
            <w:tcBorders>
              <w:top w:val="single" w:sz="4" w:space="0" w:color="D9DDE3"/>
              <w:left w:val="single" w:sz="4" w:space="0" w:color="D9DDE3"/>
              <w:bottom w:val="single" w:sz="4" w:space="0" w:color="D9DDE3"/>
              <w:right w:val="single" w:sz="4" w:space="0" w:color="D9DDE3"/>
            </w:tcBorders>
            <w:shd w:val="clear" w:color="auto" w:fill="F2F4F7"/>
            <w:tcMar>
              <w:top w:w="50" w:type="dxa"/>
              <w:left w:w="110" w:type="dxa"/>
              <w:bottom w:w="50" w:type="dxa"/>
              <w:right w:w="110" w:type="dxa"/>
            </w:tcMar>
          </w:tcPr>
          <w:p w14:paraId="49E473E2" w14:textId="77777777" w:rsidR="00AC133A" w:rsidRDefault="00000000">
            <w:pPr>
              <w:spacing w:before="30" w:after="30"/>
            </w:pPr>
            <w:r>
              <w:rPr>
                <w:sz w:val="16"/>
                <w:szCs w:val="16"/>
              </w:rPr>
              <w:t>Dedicated community consultation sessions with independent facilitation; representative advisory council; accessible complaints mechanism</w:t>
            </w:r>
          </w:p>
        </w:tc>
      </w:tr>
      <w:tr w:rsidR="00AC133A" w14:paraId="763C051D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4" w:space="0" w:color="D9DDE3"/>
              <w:left w:val="single" w:sz="4" w:space="0" w:color="D9DDE3"/>
              <w:bottom w:val="single" w:sz="4" w:space="0" w:color="D9DDE3"/>
              <w:right w:val="single" w:sz="4" w:space="0" w:color="D9DDE3"/>
            </w:tcBorders>
            <w:shd w:val="clear" w:color="auto" w:fill="FFFFFF"/>
            <w:tcMar>
              <w:top w:w="50" w:type="dxa"/>
              <w:left w:w="110" w:type="dxa"/>
              <w:bottom w:w="50" w:type="dxa"/>
              <w:right w:w="110" w:type="dxa"/>
            </w:tcMar>
          </w:tcPr>
          <w:p w14:paraId="6539ADFA" w14:textId="77777777" w:rsidR="00AC133A" w:rsidRDefault="00000000">
            <w:pPr>
              <w:spacing w:before="30" w:after="30"/>
            </w:pPr>
            <w:r>
              <w:rPr>
                <w:sz w:val="16"/>
                <w:szCs w:val="16"/>
              </w:rPr>
              <w:lastRenderedPageBreak/>
              <w:t>International partners (Five Eyes, India under AICCTP, Pacific partners)</w:t>
            </w:r>
          </w:p>
        </w:tc>
        <w:tc>
          <w:tcPr>
            <w:tcW w:w="6400" w:type="dxa"/>
            <w:tcBorders>
              <w:top w:val="single" w:sz="4" w:space="0" w:color="D9DDE3"/>
              <w:left w:val="single" w:sz="4" w:space="0" w:color="D9DDE3"/>
              <w:bottom w:val="single" w:sz="4" w:space="0" w:color="D9DDE3"/>
              <w:right w:val="single" w:sz="4" w:space="0" w:color="D9DDE3"/>
            </w:tcBorders>
            <w:shd w:val="clear" w:color="auto" w:fill="FFFFFF"/>
            <w:tcMar>
              <w:top w:w="50" w:type="dxa"/>
              <w:left w:w="110" w:type="dxa"/>
              <w:bottom w:w="50" w:type="dxa"/>
              <w:right w:w="110" w:type="dxa"/>
            </w:tcMar>
          </w:tcPr>
          <w:p w14:paraId="70D44EF9" w14:textId="77777777" w:rsidR="00AC133A" w:rsidRDefault="00000000">
            <w:pPr>
              <w:spacing w:before="30" w:after="30"/>
            </w:pPr>
            <w:r>
              <w:rPr>
                <w:sz w:val="16"/>
                <w:szCs w:val="16"/>
              </w:rPr>
              <w:t>Watchlist data sharing standards; interoperability; avoiding precedents that legitimise surveillance by less democratic partners; human rights treaty obligations</w:t>
            </w:r>
          </w:p>
        </w:tc>
        <w:tc>
          <w:tcPr>
            <w:tcW w:w="6038" w:type="dxa"/>
            <w:tcBorders>
              <w:top w:val="single" w:sz="4" w:space="0" w:color="D9DDE3"/>
              <w:left w:val="single" w:sz="4" w:space="0" w:color="D9DDE3"/>
              <w:bottom w:val="single" w:sz="4" w:space="0" w:color="D9DDE3"/>
              <w:right w:val="single" w:sz="4" w:space="0" w:color="D9DDE3"/>
            </w:tcBorders>
            <w:shd w:val="clear" w:color="auto" w:fill="FFFFFF"/>
            <w:tcMar>
              <w:top w:w="50" w:type="dxa"/>
              <w:left w:w="110" w:type="dxa"/>
              <w:bottom w:w="50" w:type="dxa"/>
              <w:right w:w="110" w:type="dxa"/>
            </w:tcMar>
          </w:tcPr>
          <w:p w14:paraId="1BE689AA" w14:textId="77777777" w:rsidR="00AC133A" w:rsidRDefault="00000000">
            <w:pPr>
              <w:spacing w:before="30" w:after="30"/>
            </w:pPr>
            <w:r>
              <w:rPr>
                <w:sz w:val="16"/>
                <w:szCs w:val="16"/>
              </w:rPr>
              <w:t>Five Eyes working group on biometric data-sharing protocols; bilateral diplomatic engagement with India on governance standards; DFAT human rights assessment</w:t>
            </w:r>
          </w:p>
        </w:tc>
      </w:tr>
    </w:tbl>
    <w:p w14:paraId="779D18E0" w14:textId="77777777" w:rsidR="00AC133A" w:rsidRDefault="00AC133A">
      <w:pPr>
        <w:spacing w:before="90"/>
      </w:pPr>
    </w:p>
    <w:tbl>
      <w:tblPr>
        <w:tblW w:w="155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599"/>
        <w:gridCol w:w="7939"/>
      </w:tblGrid>
      <w:tr w:rsidR="00AC133A" w14:paraId="313089B0" w14:textId="77777777">
        <w:tblPrEx>
          <w:tblCellMar>
            <w:top w:w="0" w:type="dxa"/>
            <w:bottom w:w="0" w:type="dxa"/>
          </w:tblCellMar>
        </w:tblPrEx>
        <w:tc>
          <w:tcPr>
            <w:tcW w:w="15538" w:type="dxa"/>
            <w:gridSpan w:val="2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A6B6B"/>
            <w:tcMar>
              <w:top w:w="55" w:type="dxa"/>
              <w:left w:w="120" w:type="dxa"/>
              <w:bottom w:w="55" w:type="dxa"/>
              <w:right w:w="120" w:type="dxa"/>
            </w:tcMar>
          </w:tcPr>
          <w:p w14:paraId="60D04694" w14:textId="77777777" w:rsidR="00AC133A" w:rsidRDefault="00000000">
            <w:pPr>
              <w:spacing w:before="30" w:after="30"/>
            </w:pPr>
            <w:r>
              <w:rPr>
                <w:b/>
                <w:bCs/>
                <w:color w:val="FFFFFF"/>
                <w:sz w:val="19"/>
                <w:szCs w:val="19"/>
              </w:rPr>
              <w:t>PART D — QUALITY BENCHMARKS    ☑ Met   ◑ Partially met   ☐ Not yet met</w:t>
            </w:r>
          </w:p>
        </w:tc>
      </w:tr>
      <w:tr w:rsidR="00AC133A" w14:paraId="17151D88" w14:textId="77777777">
        <w:tblPrEx>
          <w:tblCellMar>
            <w:top w:w="0" w:type="dxa"/>
            <w:bottom w:w="0" w:type="dxa"/>
          </w:tblCellMar>
        </w:tblPrEx>
        <w:tc>
          <w:tcPr>
            <w:tcW w:w="7599" w:type="dxa"/>
            <w:tcBorders>
              <w:top w:val="single" w:sz="4" w:space="0" w:color="D9DDE3"/>
              <w:left w:val="single" w:sz="4" w:space="0" w:color="D9DDE3"/>
              <w:bottom w:val="single" w:sz="4" w:space="0" w:color="D9DDE3"/>
              <w:right w:val="single" w:sz="4" w:space="0" w:color="D9DDE3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E1EEA53" w14:textId="77777777" w:rsidR="00AC133A" w:rsidRDefault="00000000">
            <w:pPr>
              <w:spacing w:before="28" w:after="28"/>
            </w:pPr>
            <w:r>
              <w:t xml:space="preserve">☐ </w:t>
            </w:r>
            <w:r>
              <w:rPr>
                <w:b/>
                <w:bCs/>
                <w:color w:val="1B3A6B"/>
                <w:sz w:val="17"/>
                <w:szCs w:val="17"/>
              </w:rPr>
              <w:t>SCOPE AND FOCUS</w:t>
            </w:r>
          </w:p>
          <w:p w14:paraId="73102D45" w14:textId="77777777" w:rsidR="00AC133A" w:rsidRDefault="00000000">
            <w:pPr>
              <w:spacing w:before="28" w:after="28"/>
            </w:pPr>
            <w:r>
              <w:rPr>
                <w:color w:val="1A5C2A"/>
              </w:rPr>
              <w:t xml:space="preserve">☑ </w:t>
            </w:r>
            <w:r>
              <w:rPr>
                <w:sz w:val="17"/>
                <w:szCs w:val="17"/>
              </w:rPr>
              <w:t>Specific — assessed at sub-field level: real-time crowd facial recognition, not just 'AI'</w:t>
            </w:r>
          </w:p>
          <w:p w14:paraId="4EA595F8" w14:textId="77777777" w:rsidR="00AC133A" w:rsidRDefault="00000000">
            <w:pPr>
              <w:spacing w:before="28" w:after="28"/>
            </w:pPr>
            <w:r>
              <w:rPr>
                <w:color w:val="7B4F00"/>
              </w:rPr>
              <w:t xml:space="preserve">◑ </w:t>
            </w:r>
            <w:r>
              <w:rPr>
                <w:sz w:val="17"/>
                <w:szCs w:val="17"/>
              </w:rPr>
              <w:t>Timely — RISK: technology already trialled in some Australian venues before this TIA; lock-in risk</w:t>
            </w:r>
          </w:p>
          <w:p w14:paraId="41772622" w14:textId="77777777" w:rsidR="00AC133A" w:rsidRDefault="00000000">
            <w:pPr>
              <w:spacing w:before="28" w:after="28"/>
            </w:pPr>
            <w:r>
              <w:rPr>
                <w:color w:val="1A5C2A"/>
              </w:rPr>
              <w:t xml:space="preserve">☑ </w:t>
            </w:r>
            <w:r>
              <w:rPr>
                <w:sz w:val="17"/>
                <w:szCs w:val="17"/>
              </w:rPr>
              <w:t>Comparator — manual ID and retrospective CCTV review identified as alternatives above</w:t>
            </w:r>
          </w:p>
          <w:p w14:paraId="12FEB46E" w14:textId="77777777" w:rsidR="00AC133A" w:rsidRDefault="00AC133A">
            <w:pPr>
              <w:spacing w:before="40"/>
            </w:pPr>
          </w:p>
          <w:p w14:paraId="505C9DC7" w14:textId="77777777" w:rsidR="00AC133A" w:rsidRDefault="00000000">
            <w:pPr>
              <w:spacing w:before="28" w:after="28"/>
            </w:pPr>
            <w:r>
              <w:t xml:space="preserve">☐ </w:t>
            </w:r>
            <w:r>
              <w:rPr>
                <w:b/>
                <w:bCs/>
                <w:color w:val="1B3A6B"/>
                <w:sz w:val="17"/>
                <w:szCs w:val="17"/>
              </w:rPr>
              <w:t>EVIDENCE AND ANALYSIS</w:t>
            </w:r>
          </w:p>
          <w:p w14:paraId="0C1DAF84" w14:textId="77777777" w:rsidR="00AC133A" w:rsidRDefault="00000000">
            <w:pPr>
              <w:spacing w:before="28" w:after="28"/>
            </w:pPr>
            <w:r>
              <w:rPr>
                <w:color w:val="8B1A1A"/>
              </w:rPr>
              <w:t xml:space="preserve">☐ </w:t>
            </w:r>
            <w:r>
              <w:rPr>
                <w:sz w:val="17"/>
                <w:szCs w:val="17"/>
              </w:rPr>
              <w:t>Specialist depth — technical and legal experts not yet formally engaged for this deployment</w:t>
            </w:r>
          </w:p>
          <w:p w14:paraId="69E314B8" w14:textId="77777777" w:rsidR="00AC133A" w:rsidRDefault="00000000">
            <w:pPr>
              <w:spacing w:before="28" w:after="28"/>
            </w:pPr>
            <w:r>
              <w:rPr>
                <w:color w:val="7B4F00"/>
              </w:rPr>
              <w:t xml:space="preserve">◑ </w:t>
            </w:r>
            <w:r>
              <w:rPr>
                <w:sz w:val="17"/>
                <w:szCs w:val="17"/>
              </w:rPr>
              <w:t>Non-technical impacts — social, political and legal impacts identified but not yet fully assessed</w:t>
            </w:r>
          </w:p>
          <w:p w14:paraId="479ED8C5" w14:textId="77777777" w:rsidR="00AC133A" w:rsidRDefault="00000000">
            <w:pPr>
              <w:spacing w:before="28" w:after="28"/>
            </w:pPr>
            <w:r>
              <w:rPr>
                <w:color w:val="7B4F00"/>
              </w:rPr>
              <w:t xml:space="preserve">◑ </w:t>
            </w:r>
            <w:r>
              <w:rPr>
                <w:sz w:val="17"/>
                <w:szCs w:val="17"/>
              </w:rPr>
              <w:t>International perspectives — UK, US deployment evidence cited; no systematic comparative study commissioned</w:t>
            </w:r>
          </w:p>
          <w:p w14:paraId="33EED60F" w14:textId="77777777" w:rsidR="00AC133A" w:rsidRDefault="00000000">
            <w:pPr>
              <w:spacing w:before="28" w:after="28"/>
            </w:pPr>
            <w:r>
              <w:rPr>
                <w:color w:val="8B1A1A"/>
              </w:rPr>
              <w:t xml:space="preserve">☐ </w:t>
            </w:r>
            <w:r>
              <w:rPr>
                <w:sz w:val="17"/>
                <w:szCs w:val="17"/>
              </w:rPr>
              <w:t>Longitudinal — no monitoring framework or sunset clause proposed yet</w:t>
            </w:r>
          </w:p>
          <w:p w14:paraId="6C96C4C7" w14:textId="77777777" w:rsidR="00AC133A" w:rsidRDefault="00AC133A">
            <w:pPr>
              <w:spacing w:before="40"/>
            </w:pPr>
          </w:p>
          <w:p w14:paraId="6F08037F" w14:textId="77777777" w:rsidR="00AC133A" w:rsidRDefault="00AC133A">
            <w:pPr>
              <w:pBdr>
                <w:top w:val="single" w:sz="4" w:space="0" w:color="D9DDE3"/>
              </w:pBdr>
              <w:spacing w:before="10" w:after="10"/>
            </w:pPr>
          </w:p>
          <w:p w14:paraId="217B0D0F" w14:textId="77777777" w:rsidR="00AC133A" w:rsidRDefault="00000000">
            <w:pPr>
              <w:spacing w:before="30" w:after="30"/>
            </w:pPr>
            <w:r>
              <w:rPr>
                <w:b/>
                <w:bCs/>
                <w:color w:val="8B1A1A"/>
                <w:sz w:val="17"/>
                <w:szCs w:val="17"/>
              </w:rPr>
              <w:t xml:space="preserve">Benchmarks met: 3 of 11  </w:t>
            </w:r>
            <w:r>
              <w:rPr>
                <w:i/>
                <w:iCs/>
                <w:color w:val="8B1A1A"/>
                <w:sz w:val="17"/>
                <w:szCs w:val="17"/>
              </w:rPr>
              <w:t>— significant gaps. Do not proceed.</w:t>
            </w:r>
          </w:p>
        </w:tc>
        <w:tc>
          <w:tcPr>
            <w:tcW w:w="7639" w:type="dxa"/>
            <w:tcBorders>
              <w:top w:val="single" w:sz="4" w:space="0" w:color="D9DDE3"/>
              <w:left w:val="single" w:sz="4" w:space="0" w:color="D9DDE3"/>
              <w:bottom w:val="single" w:sz="4" w:space="0" w:color="D9DDE3"/>
              <w:right w:val="single" w:sz="4" w:space="0" w:color="D9DDE3"/>
            </w:tcBorders>
            <w:shd w:val="clear" w:color="auto" w:fill="F2F4F7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8B0BDE9" w14:textId="77777777" w:rsidR="00AC133A" w:rsidRDefault="00000000">
            <w:pPr>
              <w:spacing w:before="28" w:after="28"/>
            </w:pPr>
            <w:r>
              <w:t xml:space="preserve">☐ </w:t>
            </w:r>
            <w:r>
              <w:rPr>
                <w:b/>
                <w:bCs/>
                <w:color w:val="1B3A6B"/>
                <w:sz w:val="17"/>
                <w:szCs w:val="17"/>
              </w:rPr>
              <w:t>PARTICIPATION AND LEGITIMACY</w:t>
            </w:r>
          </w:p>
          <w:p w14:paraId="7F7255BA" w14:textId="77777777" w:rsidR="00AC133A" w:rsidRDefault="00000000">
            <w:pPr>
              <w:spacing w:before="28" w:after="28"/>
            </w:pPr>
            <w:r>
              <w:rPr>
                <w:color w:val="8B1A1A"/>
              </w:rPr>
              <w:t xml:space="preserve">☐ </w:t>
            </w:r>
            <w:r>
              <w:rPr>
                <w:sz w:val="17"/>
                <w:szCs w:val="17"/>
              </w:rPr>
              <w:t>Stakeholder breadth — affected communities (Indigenous Australians, minorities) not yet consulted</w:t>
            </w:r>
          </w:p>
          <w:p w14:paraId="604FC8B7" w14:textId="77777777" w:rsidR="00AC133A" w:rsidRDefault="00000000">
            <w:pPr>
              <w:spacing w:before="28" w:after="28"/>
            </w:pPr>
            <w:r>
              <w:rPr>
                <w:color w:val="7B4F00"/>
              </w:rPr>
              <w:t xml:space="preserve">◑ </w:t>
            </w:r>
            <w:r>
              <w:rPr>
                <w:sz w:val="17"/>
                <w:szCs w:val="17"/>
              </w:rPr>
              <w:t>Equity lens — racial and gender bias risks identified; disaggregated impact assessment not yet commissioned</w:t>
            </w:r>
          </w:p>
          <w:p w14:paraId="6FD3EFF7" w14:textId="77777777" w:rsidR="00AC133A" w:rsidRDefault="00AC133A">
            <w:pPr>
              <w:spacing w:before="40"/>
            </w:pPr>
          </w:p>
          <w:p w14:paraId="30A9CE9E" w14:textId="77777777" w:rsidR="00AC133A" w:rsidRDefault="00000000">
            <w:pPr>
              <w:spacing w:before="28" w:after="28"/>
            </w:pPr>
            <w:r>
              <w:t xml:space="preserve">☐ </w:t>
            </w:r>
            <w:r>
              <w:rPr>
                <w:b/>
                <w:bCs/>
                <w:color w:val="1B3A6B"/>
                <w:sz w:val="17"/>
                <w:szCs w:val="17"/>
              </w:rPr>
              <w:t>ETHICAL AND POLICY GROUNDING</w:t>
            </w:r>
          </w:p>
          <w:p w14:paraId="7D684ED9" w14:textId="77777777" w:rsidR="00AC133A" w:rsidRDefault="00000000">
            <w:pPr>
              <w:spacing w:before="28" w:after="28"/>
            </w:pPr>
            <w:r>
              <w:rPr>
                <w:color w:val="8B1A1A"/>
              </w:rPr>
              <w:t xml:space="preserve">☐ </w:t>
            </w:r>
            <w:r>
              <w:rPr>
                <w:sz w:val="17"/>
                <w:szCs w:val="17"/>
              </w:rPr>
              <w:t>Ethical framework — no explicit ethical framework stated for this deployment</w:t>
            </w:r>
          </w:p>
          <w:p w14:paraId="25A5D7AA" w14:textId="77777777" w:rsidR="00AC133A" w:rsidRDefault="00000000">
            <w:pPr>
              <w:spacing w:before="28" w:after="28"/>
            </w:pPr>
            <w:r>
              <w:rPr>
                <w:color w:val="7B4F00"/>
              </w:rPr>
              <w:t xml:space="preserve">◑ </w:t>
            </w:r>
            <w:r>
              <w:rPr>
                <w:sz w:val="17"/>
                <w:szCs w:val="17"/>
              </w:rPr>
              <w:t>Policy relevance — policy problem well framed; findings not yet translated into actionable governance options</w:t>
            </w:r>
          </w:p>
          <w:p w14:paraId="664F5FE9" w14:textId="77777777" w:rsidR="00AC133A" w:rsidRDefault="00AC133A">
            <w:pPr>
              <w:spacing w:before="40"/>
            </w:pPr>
          </w:p>
          <w:p w14:paraId="0E1F4E9B" w14:textId="77777777" w:rsidR="00AC133A" w:rsidRDefault="00000000">
            <w:pPr>
              <w:spacing w:before="28" w:after="28"/>
            </w:pPr>
            <w:r>
              <w:t xml:space="preserve">☐ </w:t>
            </w:r>
            <w:r>
              <w:rPr>
                <w:b/>
                <w:bCs/>
                <w:color w:val="1B3A6B"/>
                <w:sz w:val="17"/>
                <w:szCs w:val="17"/>
              </w:rPr>
              <w:t>QUALITY RATING</w:t>
            </w:r>
          </w:p>
          <w:p w14:paraId="6217456E" w14:textId="77777777" w:rsidR="00AC133A" w:rsidRDefault="00000000">
            <w:pPr>
              <w:spacing w:before="28" w:after="28"/>
            </w:pPr>
            <w:r>
              <w:t xml:space="preserve">☐ </w:t>
            </w:r>
            <w:r>
              <w:rPr>
                <w:sz w:val="17"/>
                <w:szCs w:val="17"/>
              </w:rPr>
              <w:t>Advanced: 9–11 benchmarks convincingly met</w:t>
            </w:r>
          </w:p>
          <w:p w14:paraId="31CF84D9" w14:textId="77777777" w:rsidR="00AC133A" w:rsidRDefault="00000000">
            <w:pPr>
              <w:spacing w:before="28" w:after="28"/>
            </w:pPr>
            <w:r>
              <w:t xml:space="preserve">☐ </w:t>
            </w:r>
            <w:r>
              <w:rPr>
                <w:sz w:val="17"/>
                <w:szCs w:val="17"/>
              </w:rPr>
              <w:t>Intermediate: 5–8 benchmarks met</w:t>
            </w:r>
          </w:p>
          <w:p w14:paraId="0128444A" w14:textId="77777777" w:rsidR="00AC133A" w:rsidRDefault="00000000">
            <w:pPr>
              <w:spacing w:before="28" w:after="28"/>
            </w:pPr>
            <w:r>
              <w:rPr>
                <w:color w:val="1A5C2A"/>
              </w:rPr>
              <w:t xml:space="preserve">☑ </w:t>
            </w:r>
            <w:r>
              <w:rPr>
                <w:sz w:val="17"/>
                <w:szCs w:val="17"/>
              </w:rPr>
              <w:t>Basic: fewer than 5 met — flag gaps before proceeding</w:t>
            </w:r>
          </w:p>
          <w:p w14:paraId="00D07AFE" w14:textId="77777777" w:rsidR="00AC133A" w:rsidRDefault="00AC133A">
            <w:pPr>
              <w:pBdr>
                <w:top w:val="single" w:sz="4" w:space="0" w:color="D9DDE3"/>
              </w:pBdr>
              <w:spacing w:before="20" w:after="10"/>
            </w:pPr>
          </w:p>
          <w:p w14:paraId="590B06EA" w14:textId="77777777" w:rsidR="00AC133A" w:rsidRDefault="00000000">
            <w:pPr>
              <w:spacing w:before="30" w:after="30"/>
            </w:pPr>
            <w:r>
              <w:rPr>
                <w:b/>
                <w:bCs/>
                <w:color w:val="8B1A1A"/>
                <w:sz w:val="17"/>
                <w:szCs w:val="17"/>
              </w:rPr>
              <w:t xml:space="preserve">Verdict: </w:t>
            </w:r>
            <w:r>
              <w:rPr>
                <w:i/>
                <w:iCs/>
                <w:color w:val="8B1A1A"/>
                <w:sz w:val="16"/>
                <w:szCs w:val="16"/>
              </w:rPr>
              <w:t>BASIC TIA. This assessment must be substantially deepened — particularly on specialist review, community consultation, equity analysis and ethical framework — before any deployment decision.</w:t>
            </w:r>
          </w:p>
        </w:tc>
      </w:tr>
    </w:tbl>
    <w:p w14:paraId="201A9F75" w14:textId="77777777" w:rsidR="00AC133A" w:rsidRDefault="00AC133A">
      <w:pPr>
        <w:spacing w:before="90"/>
      </w:pPr>
    </w:p>
    <w:tbl>
      <w:tblPr>
        <w:tblW w:w="155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00"/>
        <w:gridCol w:w="11938"/>
      </w:tblGrid>
      <w:tr w:rsidR="00AC133A" w14:paraId="72AF0D05" w14:textId="77777777">
        <w:tblPrEx>
          <w:tblCellMar>
            <w:top w:w="0" w:type="dxa"/>
            <w:bottom w:w="0" w:type="dxa"/>
          </w:tblCellMar>
        </w:tblPrEx>
        <w:tc>
          <w:tcPr>
            <w:tcW w:w="15538" w:type="dxa"/>
            <w:gridSpan w:val="2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A6B6B"/>
            <w:tcMar>
              <w:top w:w="55" w:type="dxa"/>
              <w:left w:w="120" w:type="dxa"/>
              <w:bottom w:w="55" w:type="dxa"/>
              <w:right w:w="120" w:type="dxa"/>
            </w:tcMar>
          </w:tcPr>
          <w:p w14:paraId="3864160F" w14:textId="77777777" w:rsidR="00AC133A" w:rsidRDefault="00000000">
            <w:pPr>
              <w:spacing w:before="30" w:after="30"/>
            </w:pPr>
            <w:r>
              <w:rPr>
                <w:b/>
                <w:bCs/>
                <w:color w:val="FFFFFF"/>
                <w:sz w:val="19"/>
                <w:szCs w:val="19"/>
              </w:rPr>
              <w:t>PART E — OPTIONS AND NEXT STEPS</w:t>
            </w:r>
          </w:p>
        </w:tc>
      </w:tr>
      <w:tr w:rsidR="00AC133A" w14:paraId="43F47423" w14:textId="77777777">
        <w:tblPrEx>
          <w:tblCellMar>
            <w:top w:w="0" w:type="dxa"/>
            <w:bottom w:w="0" w:type="dxa"/>
          </w:tblCellMar>
        </w:tblPrEx>
        <w:tc>
          <w:tcPr>
            <w:tcW w:w="3600" w:type="dxa"/>
            <w:tcBorders>
              <w:top w:val="single" w:sz="4" w:space="0" w:color="D9DDE3"/>
              <w:left w:val="single" w:sz="4" w:space="0" w:color="D9DDE3"/>
              <w:bottom w:val="single" w:sz="4" w:space="0" w:color="D9DDE3"/>
              <w:right w:val="single" w:sz="4" w:space="0" w:color="D9DDE3"/>
            </w:tcBorders>
            <w:shd w:val="clear" w:color="auto" w:fill="FFFFFF"/>
            <w:tcMar>
              <w:top w:w="50" w:type="dxa"/>
              <w:left w:w="110" w:type="dxa"/>
              <w:bottom w:w="50" w:type="dxa"/>
              <w:right w:w="110" w:type="dxa"/>
            </w:tcMar>
          </w:tcPr>
          <w:p w14:paraId="40937546" w14:textId="77777777" w:rsidR="00AC133A" w:rsidRDefault="00000000">
            <w:pPr>
              <w:spacing w:before="30" w:after="30"/>
            </w:pPr>
            <w:r>
              <w:rPr>
                <w:sz w:val="16"/>
                <w:szCs w:val="16"/>
              </w:rPr>
              <w:t>Recommended option</w:t>
            </w:r>
          </w:p>
        </w:tc>
        <w:tc>
          <w:tcPr>
            <w:tcW w:w="11638" w:type="dxa"/>
            <w:tcBorders>
              <w:top w:val="single" w:sz="4" w:space="0" w:color="D9DDE3"/>
              <w:left w:val="single" w:sz="4" w:space="0" w:color="D9DDE3"/>
              <w:bottom w:val="single" w:sz="4" w:space="0" w:color="D9DDE3"/>
              <w:right w:val="single" w:sz="4" w:space="0" w:color="D9DDE3"/>
            </w:tcBorders>
            <w:shd w:val="clear" w:color="auto" w:fill="FFFFFF"/>
            <w:tcMar>
              <w:top w:w="50" w:type="dxa"/>
              <w:left w:w="110" w:type="dxa"/>
              <w:bottom w:w="50" w:type="dxa"/>
              <w:right w:w="110" w:type="dxa"/>
            </w:tcMar>
          </w:tcPr>
          <w:p w14:paraId="7406CD07" w14:textId="77777777" w:rsidR="00AC133A" w:rsidRDefault="00000000">
            <w:pPr>
              <w:spacing w:before="30" w:after="30"/>
            </w:pPr>
            <w:r>
              <w:rPr>
                <w:sz w:val="16"/>
                <w:szCs w:val="16"/>
              </w:rPr>
              <w:t>◑  Proceed with conditions — but only after completing the gaps identified in Part D. Do NOT deploy pending specialist review, community consultation and legislative framework.</w:t>
            </w:r>
          </w:p>
        </w:tc>
      </w:tr>
      <w:tr w:rsidR="00AC133A" w14:paraId="5BD070AE" w14:textId="77777777">
        <w:tblPrEx>
          <w:tblCellMar>
            <w:top w:w="0" w:type="dxa"/>
            <w:bottom w:w="0" w:type="dxa"/>
          </w:tblCellMar>
        </w:tblPrEx>
        <w:tc>
          <w:tcPr>
            <w:tcW w:w="3600" w:type="dxa"/>
            <w:tcBorders>
              <w:top w:val="single" w:sz="4" w:space="0" w:color="D9DDE3"/>
              <w:left w:val="single" w:sz="4" w:space="0" w:color="D9DDE3"/>
              <w:bottom w:val="single" w:sz="4" w:space="0" w:color="D9DDE3"/>
              <w:right w:val="single" w:sz="4" w:space="0" w:color="D9DDE3"/>
            </w:tcBorders>
            <w:shd w:val="clear" w:color="auto" w:fill="F2F4F7"/>
            <w:tcMar>
              <w:top w:w="50" w:type="dxa"/>
              <w:left w:w="110" w:type="dxa"/>
              <w:bottom w:w="50" w:type="dxa"/>
              <w:right w:w="110" w:type="dxa"/>
            </w:tcMar>
          </w:tcPr>
          <w:p w14:paraId="14184074" w14:textId="77777777" w:rsidR="00AC133A" w:rsidRDefault="00000000">
            <w:pPr>
              <w:spacing w:before="30" w:after="30"/>
            </w:pPr>
            <w:r>
              <w:rPr>
                <w:sz w:val="16"/>
                <w:szCs w:val="16"/>
              </w:rPr>
              <w:t>Key conditions or safeguards</w:t>
            </w:r>
          </w:p>
        </w:tc>
        <w:tc>
          <w:tcPr>
            <w:tcW w:w="11638" w:type="dxa"/>
            <w:tcBorders>
              <w:top w:val="single" w:sz="4" w:space="0" w:color="D9DDE3"/>
              <w:left w:val="single" w:sz="4" w:space="0" w:color="D9DDE3"/>
              <w:bottom w:val="single" w:sz="4" w:space="0" w:color="D9DDE3"/>
              <w:right w:val="single" w:sz="4" w:space="0" w:color="D9DDE3"/>
            </w:tcBorders>
            <w:shd w:val="clear" w:color="auto" w:fill="F2F4F7"/>
            <w:tcMar>
              <w:top w:w="50" w:type="dxa"/>
              <w:left w:w="110" w:type="dxa"/>
              <w:bottom w:w="50" w:type="dxa"/>
              <w:right w:w="110" w:type="dxa"/>
            </w:tcMar>
          </w:tcPr>
          <w:p w14:paraId="016D5E89" w14:textId="77777777" w:rsidR="00AC133A" w:rsidRDefault="00000000">
            <w:pPr>
              <w:spacing w:before="30" w:after="30"/>
            </w:pPr>
            <w:r>
              <w:rPr>
                <w:sz w:val="16"/>
                <w:szCs w:val="16"/>
              </w:rPr>
              <w:t>1. Independent NIST-standard accuracy audit disaggregated by race, gender and age before procurement sign-off 2. Mandatory prior judicial authorisation for each deployment event 3. Hard retention limit: biometric data of non-matched individuals deleted within 24 hours 4. Public transparency register of each activation (venue, duration, matches, false positives) 5. Adoption of the Palm-Hansson ethical technology assessment framework</w:t>
            </w:r>
          </w:p>
        </w:tc>
      </w:tr>
      <w:tr w:rsidR="00AC133A" w14:paraId="3145AFD1" w14:textId="77777777">
        <w:tblPrEx>
          <w:tblCellMar>
            <w:top w:w="0" w:type="dxa"/>
            <w:bottom w:w="0" w:type="dxa"/>
          </w:tblCellMar>
        </w:tblPrEx>
        <w:tc>
          <w:tcPr>
            <w:tcW w:w="3600" w:type="dxa"/>
            <w:tcBorders>
              <w:top w:val="single" w:sz="4" w:space="0" w:color="D9DDE3"/>
              <w:left w:val="single" w:sz="4" w:space="0" w:color="D9DDE3"/>
              <w:bottom w:val="single" w:sz="4" w:space="0" w:color="D9DDE3"/>
              <w:right w:val="single" w:sz="4" w:space="0" w:color="D9DDE3"/>
            </w:tcBorders>
            <w:shd w:val="clear" w:color="auto" w:fill="FFFFFF"/>
            <w:tcMar>
              <w:top w:w="50" w:type="dxa"/>
              <w:left w:w="110" w:type="dxa"/>
              <w:bottom w:w="50" w:type="dxa"/>
              <w:right w:w="110" w:type="dxa"/>
            </w:tcMar>
          </w:tcPr>
          <w:p w14:paraId="667FA4EB" w14:textId="77777777" w:rsidR="00AC133A" w:rsidRDefault="00000000">
            <w:pPr>
              <w:spacing w:before="30" w:after="30"/>
            </w:pPr>
            <w:r>
              <w:rPr>
                <w:sz w:val="16"/>
                <w:szCs w:val="16"/>
              </w:rPr>
              <w:t>Governance changes required</w:t>
            </w:r>
          </w:p>
        </w:tc>
        <w:tc>
          <w:tcPr>
            <w:tcW w:w="11638" w:type="dxa"/>
            <w:tcBorders>
              <w:top w:val="single" w:sz="4" w:space="0" w:color="D9DDE3"/>
              <w:left w:val="single" w:sz="4" w:space="0" w:color="D9DDE3"/>
              <w:bottom w:val="single" w:sz="4" w:space="0" w:color="D9DDE3"/>
              <w:right w:val="single" w:sz="4" w:space="0" w:color="D9DDE3"/>
            </w:tcBorders>
            <w:shd w:val="clear" w:color="auto" w:fill="FFFFFF"/>
            <w:tcMar>
              <w:top w:w="50" w:type="dxa"/>
              <w:left w:w="110" w:type="dxa"/>
              <w:bottom w:w="50" w:type="dxa"/>
              <w:right w:w="110" w:type="dxa"/>
            </w:tcMar>
          </w:tcPr>
          <w:p w14:paraId="49E6AB47" w14:textId="77777777" w:rsidR="00AC133A" w:rsidRDefault="00000000">
            <w:pPr>
              <w:spacing w:before="30" w:after="30"/>
            </w:pPr>
            <w:r>
              <w:rPr>
                <w:sz w:val="16"/>
                <w:szCs w:val="16"/>
              </w:rPr>
              <w:t>Amend Privacy Act 1988 to specifically cover biometric surveillance in public spaces; establish an independent Biometric Oversight Commissioner; require parliamentary authorisation for any new use-case beyond the original scope (preventing function creep); embed TIA as a mandatory gateway in AFP/Home Affairs procurement process for surveillance technology</w:t>
            </w:r>
          </w:p>
        </w:tc>
      </w:tr>
      <w:tr w:rsidR="00AC133A" w14:paraId="2CBE0EAD" w14:textId="77777777">
        <w:tblPrEx>
          <w:tblCellMar>
            <w:top w:w="0" w:type="dxa"/>
            <w:bottom w:w="0" w:type="dxa"/>
          </w:tblCellMar>
        </w:tblPrEx>
        <w:tc>
          <w:tcPr>
            <w:tcW w:w="3600" w:type="dxa"/>
            <w:tcBorders>
              <w:top w:val="single" w:sz="4" w:space="0" w:color="D9DDE3"/>
              <w:left w:val="single" w:sz="4" w:space="0" w:color="D9DDE3"/>
              <w:bottom w:val="single" w:sz="4" w:space="0" w:color="D9DDE3"/>
              <w:right w:val="single" w:sz="4" w:space="0" w:color="D9DDE3"/>
            </w:tcBorders>
            <w:shd w:val="clear" w:color="auto" w:fill="F2F4F7"/>
            <w:tcMar>
              <w:top w:w="50" w:type="dxa"/>
              <w:left w:w="110" w:type="dxa"/>
              <w:bottom w:w="50" w:type="dxa"/>
              <w:right w:w="110" w:type="dxa"/>
            </w:tcMar>
          </w:tcPr>
          <w:p w14:paraId="5976A36A" w14:textId="77777777" w:rsidR="00AC133A" w:rsidRDefault="00000000">
            <w:pPr>
              <w:spacing w:before="30" w:after="30"/>
            </w:pPr>
            <w:r>
              <w:rPr>
                <w:sz w:val="16"/>
                <w:szCs w:val="16"/>
              </w:rPr>
              <w:t>Monitoring mechanism and review trigger</w:t>
            </w:r>
          </w:p>
        </w:tc>
        <w:tc>
          <w:tcPr>
            <w:tcW w:w="11638" w:type="dxa"/>
            <w:tcBorders>
              <w:top w:val="single" w:sz="4" w:space="0" w:color="D9DDE3"/>
              <w:left w:val="single" w:sz="4" w:space="0" w:color="D9DDE3"/>
              <w:bottom w:val="single" w:sz="4" w:space="0" w:color="D9DDE3"/>
              <w:right w:val="single" w:sz="4" w:space="0" w:color="D9DDE3"/>
            </w:tcBorders>
            <w:shd w:val="clear" w:color="auto" w:fill="F2F4F7"/>
            <w:tcMar>
              <w:top w:w="50" w:type="dxa"/>
              <w:left w:w="110" w:type="dxa"/>
              <w:bottom w:w="50" w:type="dxa"/>
              <w:right w:w="110" w:type="dxa"/>
            </w:tcMar>
          </w:tcPr>
          <w:p w14:paraId="37680614" w14:textId="77777777" w:rsidR="00AC133A" w:rsidRDefault="00000000">
            <w:pPr>
              <w:spacing w:before="30" w:after="30"/>
            </w:pPr>
            <w:r>
              <w:rPr>
                <w:sz w:val="16"/>
                <w:szCs w:val="16"/>
              </w:rPr>
              <w:t>Annual independent audit of false-positive rates disaggregated by demographic group, published publicly; mandatory incident reporting for all wrongful detentions to Privacy Commissioner; automatic 3-year sunset clause requiring full re-authorisation by parliament; any expansion of use case triggers a new TIA</w:t>
            </w:r>
          </w:p>
        </w:tc>
      </w:tr>
      <w:tr w:rsidR="00AC133A" w14:paraId="17CD1B9C" w14:textId="77777777">
        <w:tblPrEx>
          <w:tblCellMar>
            <w:top w:w="0" w:type="dxa"/>
            <w:bottom w:w="0" w:type="dxa"/>
          </w:tblCellMar>
        </w:tblPrEx>
        <w:tc>
          <w:tcPr>
            <w:tcW w:w="3600" w:type="dxa"/>
            <w:tcBorders>
              <w:top w:val="single" w:sz="4" w:space="0" w:color="D9DDE3"/>
              <w:left w:val="single" w:sz="4" w:space="0" w:color="D9DDE3"/>
              <w:bottom w:val="single" w:sz="4" w:space="0" w:color="D9DDE3"/>
              <w:right w:val="single" w:sz="4" w:space="0" w:color="D9DDE3"/>
            </w:tcBorders>
            <w:shd w:val="clear" w:color="auto" w:fill="FFFFFF"/>
            <w:tcMar>
              <w:top w:w="50" w:type="dxa"/>
              <w:left w:w="110" w:type="dxa"/>
              <w:bottom w:w="50" w:type="dxa"/>
              <w:right w:w="110" w:type="dxa"/>
            </w:tcMar>
          </w:tcPr>
          <w:p w14:paraId="1245BB6C" w14:textId="77777777" w:rsidR="00AC133A" w:rsidRDefault="00000000">
            <w:pPr>
              <w:spacing w:before="30" w:after="30"/>
            </w:pPr>
            <w:r>
              <w:rPr>
                <w:sz w:val="16"/>
                <w:szCs w:val="16"/>
              </w:rPr>
              <w:t>Who is accountable for follow-through?</w:t>
            </w:r>
          </w:p>
        </w:tc>
        <w:tc>
          <w:tcPr>
            <w:tcW w:w="11638" w:type="dxa"/>
            <w:tcBorders>
              <w:top w:val="single" w:sz="4" w:space="0" w:color="D9DDE3"/>
              <w:left w:val="single" w:sz="4" w:space="0" w:color="D9DDE3"/>
              <w:bottom w:val="single" w:sz="4" w:space="0" w:color="D9DDE3"/>
              <w:right w:val="single" w:sz="4" w:space="0" w:color="D9DDE3"/>
            </w:tcBorders>
            <w:shd w:val="clear" w:color="auto" w:fill="FFFFFF"/>
            <w:tcMar>
              <w:top w:w="50" w:type="dxa"/>
              <w:left w:w="110" w:type="dxa"/>
              <w:bottom w:w="50" w:type="dxa"/>
              <w:right w:w="110" w:type="dxa"/>
            </w:tcMar>
          </w:tcPr>
          <w:p w14:paraId="1833D708" w14:textId="77777777" w:rsidR="00AC133A" w:rsidRDefault="00000000">
            <w:pPr>
              <w:spacing w:before="30" w:after="30"/>
            </w:pPr>
            <w:r>
              <w:rPr>
                <w:sz w:val="16"/>
                <w:szCs w:val="16"/>
              </w:rPr>
              <w:t>Policy: Minister for Home Affairs | Operational: AFP Commissioner | Compliance: Privacy Commissioner (OAIC) | Oversight: Parliamentary Joint Committee on Intelligence and Security (PJCIS) | Community redress: independent ombudsman function</w:t>
            </w:r>
          </w:p>
        </w:tc>
      </w:tr>
    </w:tbl>
    <w:p w14:paraId="32A8F103" w14:textId="77777777" w:rsidR="00AC133A" w:rsidRDefault="00AC133A">
      <w:pPr>
        <w:spacing w:before="70"/>
      </w:pPr>
    </w:p>
    <w:p w14:paraId="1632C28E" w14:textId="77777777" w:rsidR="00AC133A" w:rsidRDefault="00000000">
      <w:pPr>
        <w:pBdr>
          <w:top w:val="single" w:sz="4" w:space="4" w:color="D9DDE3"/>
        </w:pBdr>
        <w:spacing w:before="50"/>
      </w:pPr>
      <w:r>
        <w:rPr>
          <w:i/>
          <w:iCs/>
          <w:color w:val="666666"/>
          <w:sz w:val="15"/>
          <w:szCs w:val="15"/>
        </w:rPr>
        <w:t>Note: The report cautions against treating a completed TIA as closing debate (“the legitimation trap”). This canvas must be revisited as the technology matures, as deployment expands, and as new demographic evidence becomes available.</w:t>
      </w:r>
    </w:p>
    <w:sectPr w:rsidR="00AC133A">
      <w:footerReference w:type="default" r:id="rId7"/>
      <w:pgSz w:w="16838" w:h="11906" w:orient="landscape"/>
      <w:pgMar w:top="650" w:right="650" w:bottom="650" w:left="65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AB1173" w14:textId="77777777" w:rsidR="00A04543" w:rsidRDefault="00A04543">
      <w:r>
        <w:separator/>
      </w:r>
    </w:p>
  </w:endnote>
  <w:endnote w:type="continuationSeparator" w:id="0">
    <w:p w14:paraId="084FC19C" w14:textId="77777777" w:rsidR="00A04543" w:rsidRDefault="00A045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19FD68" w14:textId="77777777" w:rsidR="00AC133A" w:rsidRDefault="00000000">
    <w:pPr>
      <w:jc w:val="right"/>
    </w:pPr>
    <w:r>
      <w:rPr>
        <w:color w:val="888888"/>
        <w:sz w:val="14"/>
        <w:szCs w:val="14"/>
      </w:rPr>
      <w:t xml:space="preserve">TIA Canvas — Worked Example: AI Facial Recognition in Crowds  |  Social Cyber Institute  |  </w:t>
    </w:r>
    <w:r>
      <w:rPr>
        <w:color w:val="888888"/>
        <w:sz w:val="14"/>
        <w:szCs w:val="14"/>
      </w:rPr>
      <w:fldChar w:fldCharType="begin"/>
    </w:r>
    <w:r>
      <w:rPr>
        <w:color w:val="888888"/>
        <w:sz w:val="14"/>
        <w:szCs w:val="14"/>
      </w:rPr>
      <w:instrText>PAGE</w:instrText>
    </w:r>
    <w:r>
      <w:rPr>
        <w:color w:val="888888"/>
        <w:sz w:val="14"/>
        <w:szCs w:val="14"/>
      </w:rPr>
      <w:fldChar w:fldCharType="separate"/>
    </w:r>
    <w:r w:rsidR="00663027">
      <w:rPr>
        <w:noProof/>
        <w:color w:val="888888"/>
        <w:sz w:val="14"/>
        <w:szCs w:val="14"/>
      </w:rPr>
      <w:t>1</w:t>
    </w:r>
    <w:r>
      <w:rPr>
        <w:color w:val="888888"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364C1E" w14:textId="77777777" w:rsidR="00A04543" w:rsidRDefault="00A04543">
      <w:r>
        <w:separator/>
      </w:r>
    </w:p>
  </w:footnote>
  <w:footnote w:type="continuationSeparator" w:id="0">
    <w:p w14:paraId="14265B97" w14:textId="77777777" w:rsidR="00A04543" w:rsidRDefault="00A045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6250F1"/>
    <w:multiLevelType w:val="hybridMultilevel"/>
    <w:tmpl w:val="E6142C5C"/>
    <w:lvl w:ilvl="0" w:tplc="2E607A8E">
      <w:start w:val="1"/>
      <w:numFmt w:val="bullet"/>
      <w:lvlText w:val="●"/>
      <w:lvlJc w:val="left"/>
      <w:pPr>
        <w:ind w:left="720" w:hanging="360"/>
      </w:pPr>
    </w:lvl>
    <w:lvl w:ilvl="1" w:tplc="397A5A40">
      <w:start w:val="1"/>
      <w:numFmt w:val="bullet"/>
      <w:lvlText w:val="○"/>
      <w:lvlJc w:val="left"/>
      <w:pPr>
        <w:ind w:left="1440" w:hanging="360"/>
      </w:pPr>
    </w:lvl>
    <w:lvl w:ilvl="2" w:tplc="CEE24A40">
      <w:start w:val="1"/>
      <w:numFmt w:val="bullet"/>
      <w:lvlText w:val="■"/>
      <w:lvlJc w:val="left"/>
      <w:pPr>
        <w:ind w:left="2160" w:hanging="360"/>
      </w:pPr>
    </w:lvl>
    <w:lvl w:ilvl="3" w:tplc="DB10A70A">
      <w:start w:val="1"/>
      <w:numFmt w:val="bullet"/>
      <w:lvlText w:val="●"/>
      <w:lvlJc w:val="left"/>
      <w:pPr>
        <w:ind w:left="2880" w:hanging="360"/>
      </w:pPr>
    </w:lvl>
    <w:lvl w:ilvl="4" w:tplc="CA584E40">
      <w:start w:val="1"/>
      <w:numFmt w:val="bullet"/>
      <w:lvlText w:val="○"/>
      <w:lvlJc w:val="left"/>
      <w:pPr>
        <w:ind w:left="3600" w:hanging="360"/>
      </w:pPr>
    </w:lvl>
    <w:lvl w:ilvl="5" w:tplc="5096208A">
      <w:start w:val="1"/>
      <w:numFmt w:val="bullet"/>
      <w:lvlText w:val="■"/>
      <w:lvlJc w:val="left"/>
      <w:pPr>
        <w:ind w:left="4320" w:hanging="360"/>
      </w:pPr>
    </w:lvl>
    <w:lvl w:ilvl="6" w:tplc="B94AC2DE">
      <w:start w:val="1"/>
      <w:numFmt w:val="bullet"/>
      <w:lvlText w:val="●"/>
      <w:lvlJc w:val="left"/>
      <w:pPr>
        <w:ind w:left="5040" w:hanging="360"/>
      </w:pPr>
    </w:lvl>
    <w:lvl w:ilvl="7" w:tplc="619C18A8">
      <w:start w:val="1"/>
      <w:numFmt w:val="bullet"/>
      <w:lvlText w:val="●"/>
      <w:lvlJc w:val="left"/>
      <w:pPr>
        <w:ind w:left="5760" w:hanging="360"/>
      </w:pPr>
    </w:lvl>
    <w:lvl w:ilvl="8" w:tplc="31BA2618">
      <w:start w:val="1"/>
      <w:numFmt w:val="bullet"/>
      <w:lvlText w:val="●"/>
      <w:lvlJc w:val="left"/>
      <w:pPr>
        <w:ind w:left="6480" w:hanging="360"/>
      </w:pPr>
    </w:lvl>
  </w:abstractNum>
  <w:num w:numId="1" w16cid:durableId="271010388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133A"/>
    <w:rsid w:val="00042014"/>
    <w:rsid w:val="00663027"/>
    <w:rsid w:val="00A04543"/>
    <w:rsid w:val="00AC1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FD2C19"/>
  <w15:docId w15:val="{B7E09E31-42C6-4CEB-91A7-3CD9A2FE5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1A1A1A"/>
        <w:sz w:val="18"/>
        <w:szCs w:val="18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1655</Words>
  <Characters>9437</Characters>
  <Application>Microsoft Office Word</Application>
  <DocSecurity>0</DocSecurity>
  <Lines>78</Lines>
  <Paragraphs>22</Paragraphs>
  <ScaleCrop>false</ScaleCrop>
  <Company/>
  <LinksUpToDate>false</LinksUpToDate>
  <CharactersWithSpaces>11070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Greg Austin</cp:lastModifiedBy>
  <cp:revision>2</cp:revision>
  <dcterms:created xsi:type="dcterms:W3CDTF">2026-06-24T11:44:00Z</dcterms:created>
  <dcterms:modified xsi:type="dcterms:W3CDTF">2026-06-24T11:44:00Z</dcterms:modified>
</cp:coreProperties>
</file>