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29E6" w14:textId="2CEBD9C4" w:rsidR="002E18B5" w:rsidRPr="002E18B5" w:rsidRDefault="002E18B5" w:rsidP="002E18B5">
      <w:pPr>
        <w:spacing w:after="0" w:line="240" w:lineRule="auto"/>
        <w:jc w:val="center"/>
        <w:rPr>
          <w:rFonts w:asciiTheme="majorHAnsi" w:eastAsia="inter" w:hAnsiTheme="majorHAnsi" w:cs="inter"/>
          <w:b/>
          <w:bCs/>
          <w:color w:val="000000"/>
          <w:sz w:val="24"/>
          <w:szCs w:val="24"/>
        </w:rPr>
      </w:pPr>
      <w:r w:rsidRPr="002E18B5">
        <w:rPr>
          <w:rFonts w:asciiTheme="majorHAnsi" w:eastAsia="inter" w:hAnsiTheme="majorHAnsi" w:cs="inter"/>
          <w:b/>
          <w:bCs/>
          <w:color w:val="000000"/>
          <w:sz w:val="24"/>
          <w:szCs w:val="24"/>
        </w:rPr>
        <w:t>Market Analysis East Africa</w:t>
      </w:r>
    </w:p>
    <w:p w14:paraId="787A6614" w14:textId="77777777" w:rsidR="002E18B5" w:rsidRPr="002E18B5" w:rsidRDefault="002E18B5" w:rsidP="002E18B5">
      <w:pPr>
        <w:spacing w:after="0" w:line="240" w:lineRule="auto"/>
        <w:rPr>
          <w:rFonts w:asciiTheme="majorHAnsi" w:eastAsia="inter" w:hAnsiTheme="majorHAnsi" w:cs="inter"/>
          <w:color w:val="000000"/>
          <w:sz w:val="24"/>
          <w:szCs w:val="24"/>
        </w:rPr>
      </w:pPr>
    </w:p>
    <w:p w14:paraId="413F4E17" w14:textId="56F462AD" w:rsidR="0069743F" w:rsidRDefault="00000000" w:rsidP="002E18B5">
      <w:pPr>
        <w:spacing w:after="0" w:line="240" w:lineRule="auto"/>
        <w:rPr>
          <w:rFonts w:asciiTheme="majorHAnsi" w:eastAsia="inter" w:hAnsiTheme="majorHAnsi" w:cs="inter"/>
          <w:color w:val="000000"/>
          <w:sz w:val="24"/>
          <w:szCs w:val="24"/>
        </w:rPr>
      </w:pPr>
      <w:r w:rsidRPr="002E18B5">
        <w:rPr>
          <w:rFonts w:asciiTheme="majorHAnsi" w:eastAsia="inter" w:hAnsiTheme="majorHAnsi" w:cs="inter"/>
          <w:color w:val="000000"/>
          <w:sz w:val="24"/>
          <w:szCs w:val="24"/>
        </w:rPr>
        <w:t>The job market in East Africa for “cyber policy” roles is growing but remains considerably smaller than the high-demand market for technical cybersecurity professionals focused on tools, tactics, and procedures.</w:t>
      </w:r>
    </w:p>
    <w:p w14:paraId="61F88E63" w14:textId="77777777" w:rsidR="002E18B5" w:rsidRPr="002E18B5" w:rsidRDefault="002E18B5" w:rsidP="002E18B5">
      <w:pPr>
        <w:spacing w:after="0" w:line="240" w:lineRule="auto"/>
        <w:rPr>
          <w:rFonts w:asciiTheme="majorHAnsi" w:hAnsiTheme="majorHAnsi"/>
          <w:sz w:val="24"/>
          <w:szCs w:val="24"/>
        </w:rPr>
      </w:pPr>
    </w:p>
    <w:p w14:paraId="34A3B0CE" w14:textId="77777777" w:rsidR="0069743F" w:rsidRDefault="00000000" w:rsidP="002E18B5">
      <w:pPr>
        <w:spacing w:after="0" w:line="240" w:lineRule="auto"/>
        <w:ind w:left="-30"/>
        <w:rPr>
          <w:rFonts w:asciiTheme="majorHAnsi" w:eastAsia="inter" w:hAnsiTheme="majorHAnsi" w:cs="inter"/>
          <w:b/>
          <w:bCs/>
          <w:color w:val="000000"/>
          <w:sz w:val="24"/>
          <w:szCs w:val="24"/>
        </w:rPr>
      </w:pPr>
      <w:r w:rsidRPr="002E18B5">
        <w:rPr>
          <w:rFonts w:asciiTheme="majorHAnsi" w:eastAsia="inter" w:hAnsiTheme="majorHAnsi" w:cs="inter"/>
          <w:b/>
          <w:bCs/>
          <w:color w:val="000000"/>
          <w:sz w:val="24"/>
          <w:szCs w:val="24"/>
        </w:rPr>
        <w:t>Cyber Policy Job Market</w:t>
      </w:r>
    </w:p>
    <w:p w14:paraId="730BB525" w14:textId="77777777" w:rsidR="002E18B5" w:rsidRPr="002E18B5" w:rsidRDefault="002E18B5" w:rsidP="002E18B5">
      <w:pPr>
        <w:spacing w:after="0" w:line="240" w:lineRule="auto"/>
        <w:ind w:left="-30"/>
        <w:rPr>
          <w:rFonts w:asciiTheme="majorHAnsi" w:hAnsiTheme="majorHAnsi"/>
          <w:b/>
          <w:bCs/>
          <w:sz w:val="24"/>
          <w:szCs w:val="24"/>
        </w:rPr>
      </w:pPr>
    </w:p>
    <w:p w14:paraId="06C2B09F" w14:textId="7467AE57" w:rsidR="0069743F" w:rsidRPr="002E18B5" w:rsidRDefault="00000000" w:rsidP="002E18B5">
      <w:pPr>
        <w:numPr>
          <w:ilvl w:val="0"/>
          <w:numId w:val="1"/>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 xml:space="preserve">There is rising demand for cyber policy, governance, and regulatory roles, driven by surges in high-profile </w:t>
      </w:r>
      <w:proofErr w:type="spellStart"/>
      <w:r w:rsidRPr="002E18B5">
        <w:rPr>
          <w:rFonts w:asciiTheme="majorHAnsi" w:eastAsia="inter" w:hAnsiTheme="majorHAnsi" w:cs="inter"/>
          <w:color w:val="000000"/>
          <w:sz w:val="24"/>
          <w:szCs w:val="24"/>
        </w:rPr>
        <w:t>cyber attacks</w:t>
      </w:r>
      <w:proofErr w:type="spellEnd"/>
      <w:r w:rsidRPr="002E18B5">
        <w:rPr>
          <w:rFonts w:asciiTheme="majorHAnsi" w:eastAsia="inter" w:hAnsiTheme="majorHAnsi" w:cs="inter"/>
          <w:color w:val="000000"/>
          <w:sz w:val="24"/>
          <w:szCs w:val="24"/>
        </w:rPr>
        <w:t>, new national strategies, and digital sovereignty initiatives (such as Kenya’s Digital Superhighway and Uganda’s National Cybersecurity Strategy).</w:t>
      </w:r>
      <w:bookmarkStart w:id="0" w:name="fnref1"/>
      <w:bookmarkStart w:id="1" w:name="fnref2"/>
      <w:bookmarkEnd w:id="0"/>
      <w:bookmarkEnd w:id="1"/>
      <w:r w:rsidR="002E18B5" w:rsidRPr="002E18B5">
        <w:rPr>
          <w:rFonts w:asciiTheme="majorHAnsi" w:hAnsiTheme="majorHAnsi"/>
          <w:sz w:val="24"/>
          <w:szCs w:val="24"/>
        </w:rPr>
        <w:t xml:space="preserve"> </w:t>
      </w:r>
    </w:p>
    <w:p w14:paraId="75FE78CF" w14:textId="1A9D9133" w:rsidR="0069743F" w:rsidRPr="002E18B5" w:rsidRDefault="00000000" w:rsidP="002E18B5">
      <w:pPr>
        <w:numPr>
          <w:ilvl w:val="0"/>
          <w:numId w:val="1"/>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Hiring for cyber policy roles is concentrated in government ministries, regulatory agencies, pan-African organizations, and a few large corporations—these roles are high impact but are much fewer in number than technical jobs.</w:t>
      </w:r>
      <w:bookmarkStart w:id="2" w:name="fnref3"/>
      <w:bookmarkStart w:id="3" w:name="fnref2:1"/>
      <w:bookmarkEnd w:id="2"/>
      <w:bookmarkEnd w:id="3"/>
      <w:r w:rsidR="002E18B5" w:rsidRPr="002E18B5">
        <w:rPr>
          <w:rFonts w:asciiTheme="majorHAnsi" w:hAnsiTheme="majorHAnsi"/>
          <w:sz w:val="24"/>
          <w:szCs w:val="24"/>
        </w:rPr>
        <w:t xml:space="preserve"> </w:t>
      </w:r>
    </w:p>
    <w:p w14:paraId="3E6D8E1E" w14:textId="63835826" w:rsidR="0069743F" w:rsidRPr="002E18B5" w:rsidRDefault="00000000" w:rsidP="002E18B5">
      <w:pPr>
        <w:numPr>
          <w:ilvl w:val="0"/>
          <w:numId w:val="1"/>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Most policy roles require backgrounds in law, compliance, international relations, or cyber governance and are not as accessible to early-career entrants as technical jobs.</w:t>
      </w:r>
      <w:bookmarkStart w:id="4" w:name="fnref2:2"/>
      <w:bookmarkEnd w:id="4"/>
      <w:r w:rsidR="002E18B5" w:rsidRPr="002E18B5">
        <w:rPr>
          <w:rFonts w:asciiTheme="majorHAnsi" w:hAnsiTheme="majorHAnsi"/>
          <w:sz w:val="24"/>
          <w:szCs w:val="24"/>
        </w:rPr>
        <w:t xml:space="preserve"> </w:t>
      </w:r>
    </w:p>
    <w:p w14:paraId="0BF1E48D" w14:textId="35D1CCFF" w:rsidR="0069743F" w:rsidRPr="002E18B5" w:rsidRDefault="00000000" w:rsidP="002E18B5">
      <w:pPr>
        <w:numPr>
          <w:ilvl w:val="0"/>
          <w:numId w:val="1"/>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The region is making regulatory progress but lacks the volume of dedicated policy positions seen in more developed digital economies.</w:t>
      </w:r>
      <w:bookmarkStart w:id="5" w:name="fnref4"/>
      <w:bookmarkStart w:id="6" w:name="fnref2:3"/>
      <w:bookmarkEnd w:id="5"/>
      <w:bookmarkEnd w:id="6"/>
      <w:r w:rsidR="002E18B5" w:rsidRPr="002E18B5">
        <w:rPr>
          <w:rFonts w:asciiTheme="majorHAnsi" w:hAnsiTheme="majorHAnsi"/>
          <w:sz w:val="24"/>
          <w:szCs w:val="24"/>
        </w:rPr>
        <w:t xml:space="preserve"> </w:t>
      </w:r>
    </w:p>
    <w:p w14:paraId="3627FE2C" w14:textId="77777777" w:rsidR="002E18B5" w:rsidRDefault="002E18B5" w:rsidP="002E18B5">
      <w:pPr>
        <w:spacing w:after="0" w:line="240" w:lineRule="auto"/>
        <w:ind w:left="-30"/>
        <w:rPr>
          <w:rFonts w:asciiTheme="majorHAnsi" w:eastAsia="inter" w:hAnsiTheme="majorHAnsi" w:cs="inter"/>
          <w:color w:val="000000"/>
          <w:sz w:val="24"/>
          <w:szCs w:val="24"/>
        </w:rPr>
      </w:pPr>
    </w:p>
    <w:p w14:paraId="59D9ABEB" w14:textId="2331521E" w:rsidR="0069743F" w:rsidRDefault="00000000" w:rsidP="002E18B5">
      <w:pPr>
        <w:spacing w:after="0" w:line="240" w:lineRule="auto"/>
        <w:ind w:left="-30"/>
        <w:rPr>
          <w:rFonts w:asciiTheme="majorHAnsi" w:eastAsia="inter" w:hAnsiTheme="majorHAnsi" w:cs="inter"/>
          <w:b/>
          <w:bCs/>
          <w:color w:val="000000"/>
          <w:sz w:val="24"/>
          <w:szCs w:val="24"/>
        </w:rPr>
      </w:pPr>
      <w:r w:rsidRPr="002E18B5">
        <w:rPr>
          <w:rFonts w:asciiTheme="majorHAnsi" w:eastAsia="inter" w:hAnsiTheme="majorHAnsi" w:cs="inter"/>
          <w:b/>
          <w:bCs/>
          <w:color w:val="000000"/>
          <w:sz w:val="24"/>
          <w:szCs w:val="24"/>
        </w:rPr>
        <w:t>Technical Cybersecurity Job Market</w:t>
      </w:r>
    </w:p>
    <w:p w14:paraId="6827EF99" w14:textId="77777777" w:rsidR="002E18B5" w:rsidRPr="002E18B5" w:rsidRDefault="002E18B5" w:rsidP="002E18B5">
      <w:pPr>
        <w:spacing w:after="0" w:line="240" w:lineRule="auto"/>
        <w:ind w:left="-30"/>
        <w:rPr>
          <w:rFonts w:asciiTheme="majorHAnsi" w:hAnsiTheme="majorHAnsi"/>
          <w:b/>
          <w:bCs/>
          <w:sz w:val="24"/>
          <w:szCs w:val="24"/>
        </w:rPr>
      </w:pPr>
    </w:p>
    <w:p w14:paraId="0EA54724" w14:textId="5BEF61D5" w:rsidR="0069743F" w:rsidRPr="002E18B5" w:rsidRDefault="00000000" w:rsidP="002E18B5">
      <w:pPr>
        <w:numPr>
          <w:ilvl w:val="0"/>
          <w:numId w:val="2"/>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Technical cybersecurity roles (e.g., security engineers, SOC analysts, penetration testers, IT security managers) are in steep demand, with Kenya alone projected to require at least 10,000 additional cyber professionals by 2025.</w:t>
      </w:r>
      <w:bookmarkStart w:id="7" w:name="fnref5"/>
      <w:bookmarkEnd w:id="7"/>
      <w:r w:rsidR="002E18B5" w:rsidRPr="002E18B5">
        <w:rPr>
          <w:rFonts w:asciiTheme="majorHAnsi" w:hAnsiTheme="majorHAnsi"/>
          <w:sz w:val="24"/>
          <w:szCs w:val="24"/>
        </w:rPr>
        <w:t xml:space="preserve"> </w:t>
      </w:r>
    </w:p>
    <w:p w14:paraId="75A6F1B6" w14:textId="624716FE" w:rsidR="0069743F" w:rsidRPr="002E18B5" w:rsidRDefault="00000000" w:rsidP="002E18B5">
      <w:pPr>
        <w:numPr>
          <w:ilvl w:val="0"/>
          <w:numId w:val="2"/>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Even entry- and intermediate-level technical roles are widely advertised across job boards, consultancies, government projects, and telecom sectors, with growth above 10% annually.</w:t>
      </w:r>
      <w:bookmarkStart w:id="8" w:name="fnref6"/>
      <w:bookmarkStart w:id="9" w:name="fnref7"/>
      <w:bookmarkStart w:id="10" w:name="fnref3:2"/>
      <w:bookmarkEnd w:id="8"/>
      <w:bookmarkEnd w:id="9"/>
      <w:bookmarkEnd w:id="10"/>
      <w:r w:rsidR="002E18B5" w:rsidRPr="002E18B5">
        <w:rPr>
          <w:rFonts w:asciiTheme="majorHAnsi" w:hAnsiTheme="majorHAnsi"/>
          <w:sz w:val="24"/>
          <w:szCs w:val="24"/>
        </w:rPr>
        <w:t xml:space="preserve"> </w:t>
      </w:r>
    </w:p>
    <w:p w14:paraId="2093D7D1" w14:textId="0C8AC002" w:rsidR="0069743F" w:rsidRPr="002E18B5" w:rsidRDefault="00000000" w:rsidP="002E18B5">
      <w:pPr>
        <w:numPr>
          <w:ilvl w:val="0"/>
          <w:numId w:val="2"/>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Many organizations plan to increase cybersecurity budgets, with 34% in Kenya boosting spending, reflecting a clear and urgent technical talent shortage.</w:t>
      </w:r>
      <w:bookmarkStart w:id="11" w:name="fnref8"/>
      <w:bookmarkStart w:id="12" w:name="fnref3:3"/>
      <w:bookmarkStart w:id="13" w:name="fnref5:1"/>
      <w:bookmarkEnd w:id="11"/>
      <w:bookmarkEnd w:id="12"/>
      <w:bookmarkEnd w:id="13"/>
      <w:r w:rsidR="002E18B5" w:rsidRPr="002E18B5">
        <w:rPr>
          <w:rFonts w:asciiTheme="majorHAnsi" w:hAnsiTheme="majorHAnsi"/>
          <w:sz w:val="24"/>
          <w:szCs w:val="24"/>
        </w:rPr>
        <w:t xml:space="preserve"> </w:t>
      </w:r>
    </w:p>
    <w:p w14:paraId="1CECB498" w14:textId="77777777" w:rsidR="002E18B5" w:rsidRPr="002E18B5" w:rsidRDefault="00000000" w:rsidP="002E18B5">
      <w:pPr>
        <w:numPr>
          <w:ilvl w:val="0"/>
          <w:numId w:val="2"/>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 xml:space="preserve">The market is </w:t>
      </w:r>
      <w:proofErr w:type="spellStart"/>
      <w:r w:rsidRPr="002E18B5">
        <w:rPr>
          <w:rFonts w:asciiTheme="majorHAnsi" w:eastAsia="inter" w:hAnsiTheme="majorHAnsi" w:cs="inter"/>
          <w:color w:val="000000"/>
          <w:sz w:val="24"/>
          <w:szCs w:val="24"/>
        </w:rPr>
        <w:t>favoured</w:t>
      </w:r>
      <w:proofErr w:type="spellEnd"/>
      <w:r w:rsidRPr="002E18B5">
        <w:rPr>
          <w:rFonts w:asciiTheme="majorHAnsi" w:eastAsia="inter" w:hAnsiTheme="majorHAnsi" w:cs="inter"/>
          <w:color w:val="000000"/>
          <w:sz w:val="24"/>
          <w:szCs w:val="24"/>
        </w:rPr>
        <w:t xml:space="preserve"> </w:t>
      </w:r>
      <w:proofErr w:type="gramStart"/>
      <w:r w:rsidRPr="002E18B5">
        <w:rPr>
          <w:rFonts w:asciiTheme="majorHAnsi" w:eastAsia="inter" w:hAnsiTheme="majorHAnsi" w:cs="inter"/>
          <w:color w:val="000000"/>
          <w:sz w:val="24"/>
          <w:szCs w:val="24"/>
        </w:rPr>
        <w:t>toward</w:t>
      </w:r>
      <w:proofErr w:type="gramEnd"/>
      <w:r w:rsidRPr="002E18B5">
        <w:rPr>
          <w:rFonts w:asciiTheme="majorHAnsi" w:eastAsia="inter" w:hAnsiTheme="majorHAnsi" w:cs="inter"/>
          <w:color w:val="000000"/>
          <w:sz w:val="24"/>
          <w:szCs w:val="24"/>
        </w:rPr>
        <w:t xml:space="preserve"> those who can combine practical security experience with industry certifications and hands-on skills.</w:t>
      </w:r>
      <w:bookmarkStart w:id="14" w:name="fnref8:1"/>
      <w:bookmarkEnd w:id="14"/>
    </w:p>
    <w:p w14:paraId="62CB3AC6" w14:textId="3FD8ED9B" w:rsidR="0069743F" w:rsidRPr="002E18B5" w:rsidRDefault="0069743F" w:rsidP="002E18B5">
      <w:pPr>
        <w:spacing w:after="0" w:line="240" w:lineRule="auto"/>
        <w:ind w:left="540"/>
        <w:rPr>
          <w:rFonts w:asciiTheme="majorHAnsi" w:hAnsiTheme="majorHAnsi"/>
          <w:sz w:val="24"/>
          <w:szCs w:val="24"/>
        </w:rPr>
      </w:pPr>
    </w:p>
    <w:p w14:paraId="299AB392" w14:textId="77777777" w:rsidR="0069743F" w:rsidRDefault="00000000" w:rsidP="002E18B5">
      <w:pPr>
        <w:spacing w:after="0" w:line="240" w:lineRule="auto"/>
        <w:ind w:left="-30"/>
        <w:rPr>
          <w:rFonts w:asciiTheme="majorHAnsi" w:eastAsia="inter" w:hAnsiTheme="majorHAnsi" w:cs="inter"/>
          <w:b/>
          <w:bCs/>
          <w:color w:val="000000"/>
          <w:sz w:val="24"/>
          <w:szCs w:val="24"/>
        </w:rPr>
      </w:pPr>
      <w:r w:rsidRPr="002E18B5">
        <w:rPr>
          <w:rFonts w:asciiTheme="majorHAnsi" w:eastAsia="inter" w:hAnsiTheme="majorHAnsi" w:cs="inter"/>
          <w:b/>
          <w:bCs/>
          <w:color w:val="000000"/>
          <w:sz w:val="24"/>
          <w:szCs w:val="24"/>
        </w:rPr>
        <w:t>Comparative Outlook</w:t>
      </w:r>
    </w:p>
    <w:p w14:paraId="6D0F20DF" w14:textId="77777777" w:rsidR="002E18B5" w:rsidRPr="002E18B5" w:rsidRDefault="002E18B5" w:rsidP="002E18B5">
      <w:pPr>
        <w:spacing w:after="0" w:line="240" w:lineRule="auto"/>
        <w:ind w:left="-30"/>
        <w:rPr>
          <w:rFonts w:asciiTheme="majorHAnsi" w:hAnsiTheme="majorHAnsi"/>
          <w:b/>
          <w:bCs/>
          <w:sz w:val="24"/>
          <w:szCs w:val="24"/>
        </w:rPr>
      </w:pP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122"/>
        <w:gridCol w:w="2105"/>
        <w:gridCol w:w="2004"/>
        <w:gridCol w:w="1917"/>
      </w:tblGrid>
      <w:tr w:rsidR="0069743F" w:rsidRPr="002E18B5" w14:paraId="0BA763CA" w14:textId="77777777" w:rsidTr="002E18B5">
        <w:trPr>
          <w:cantSplit/>
          <w:tblCellSpacing w:w="0" w:type="dxa"/>
          <w:jc w:val="center"/>
        </w:trPr>
        <w:tc>
          <w:tcPr>
            <w:tcW w:w="0" w:type="auto"/>
          </w:tcPr>
          <w:p w14:paraId="2EE7A242"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Role Type</w:t>
            </w:r>
          </w:p>
        </w:tc>
        <w:tc>
          <w:tcPr>
            <w:tcW w:w="0" w:type="auto"/>
          </w:tcPr>
          <w:p w14:paraId="07489CFD"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Size &amp; Growth</w:t>
            </w:r>
          </w:p>
        </w:tc>
        <w:tc>
          <w:tcPr>
            <w:tcW w:w="0" w:type="auto"/>
          </w:tcPr>
          <w:p w14:paraId="07BB55AE"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Typical Employers</w:t>
            </w:r>
          </w:p>
        </w:tc>
        <w:tc>
          <w:tcPr>
            <w:tcW w:w="0" w:type="auto"/>
          </w:tcPr>
          <w:p w14:paraId="38D2976E"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Entry Route</w:t>
            </w:r>
          </w:p>
        </w:tc>
        <w:tc>
          <w:tcPr>
            <w:tcW w:w="0" w:type="auto"/>
          </w:tcPr>
          <w:p w14:paraId="020818AD"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Main Drivers</w:t>
            </w:r>
          </w:p>
        </w:tc>
      </w:tr>
      <w:tr w:rsidR="0069743F" w:rsidRPr="002E18B5" w14:paraId="65582413" w14:textId="77777777" w:rsidTr="002E18B5">
        <w:trPr>
          <w:cantSplit/>
          <w:tblCellSpacing w:w="0" w:type="dxa"/>
          <w:jc w:val="center"/>
        </w:trPr>
        <w:tc>
          <w:tcPr>
            <w:tcW w:w="0" w:type="auto"/>
          </w:tcPr>
          <w:p w14:paraId="2FAC060A"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Cyber Policy</w:t>
            </w:r>
          </w:p>
        </w:tc>
        <w:tc>
          <w:tcPr>
            <w:tcW w:w="0" w:type="auto"/>
          </w:tcPr>
          <w:p w14:paraId="75708D4E"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Small, expanding, high impact</w:t>
            </w:r>
          </w:p>
        </w:tc>
        <w:tc>
          <w:tcPr>
            <w:tcW w:w="0" w:type="auto"/>
          </w:tcPr>
          <w:p w14:paraId="79E9D890"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Govt, regional bodies, select enterprise</w:t>
            </w:r>
          </w:p>
        </w:tc>
        <w:tc>
          <w:tcPr>
            <w:tcW w:w="0" w:type="auto"/>
          </w:tcPr>
          <w:p w14:paraId="1B261236"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Specialist, legal, policy</w:t>
            </w:r>
          </w:p>
        </w:tc>
        <w:tc>
          <w:tcPr>
            <w:tcW w:w="0" w:type="auto"/>
          </w:tcPr>
          <w:p w14:paraId="1E956BE0"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Regulations, national plans</w:t>
            </w:r>
          </w:p>
        </w:tc>
      </w:tr>
      <w:tr w:rsidR="0069743F" w:rsidRPr="002E18B5" w14:paraId="60281223" w14:textId="77777777" w:rsidTr="002E18B5">
        <w:trPr>
          <w:cantSplit/>
          <w:tblCellSpacing w:w="0" w:type="dxa"/>
          <w:jc w:val="center"/>
        </w:trPr>
        <w:tc>
          <w:tcPr>
            <w:tcW w:w="0" w:type="auto"/>
          </w:tcPr>
          <w:p w14:paraId="016CD37C"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Technical</w:t>
            </w:r>
          </w:p>
        </w:tc>
        <w:tc>
          <w:tcPr>
            <w:tcW w:w="0" w:type="auto"/>
          </w:tcPr>
          <w:p w14:paraId="46F9E2B6"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Much larger, fast-growing, high demand</w:t>
            </w:r>
          </w:p>
        </w:tc>
        <w:tc>
          <w:tcPr>
            <w:tcW w:w="0" w:type="auto"/>
          </w:tcPr>
          <w:p w14:paraId="7B7B2F77"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All sectors, telecom, finance</w:t>
            </w:r>
          </w:p>
        </w:tc>
        <w:tc>
          <w:tcPr>
            <w:tcW w:w="0" w:type="auto"/>
          </w:tcPr>
          <w:p w14:paraId="3FD8DB3F"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Wide: degrees, certs, bootcamps</w:t>
            </w:r>
          </w:p>
        </w:tc>
        <w:tc>
          <w:tcPr>
            <w:tcW w:w="0" w:type="auto"/>
          </w:tcPr>
          <w:p w14:paraId="7D5FD2D4" w14:textId="77777777" w:rsidR="0069743F" w:rsidRPr="002E18B5" w:rsidRDefault="00000000" w:rsidP="002E18B5">
            <w:pPr>
              <w:rPr>
                <w:rFonts w:asciiTheme="majorHAnsi" w:hAnsiTheme="majorHAnsi"/>
                <w:sz w:val="24"/>
                <w:szCs w:val="24"/>
              </w:rPr>
            </w:pPr>
            <w:r w:rsidRPr="002E18B5">
              <w:rPr>
                <w:rFonts w:asciiTheme="majorHAnsi" w:eastAsia="inter" w:hAnsiTheme="majorHAnsi" w:cs="inter"/>
                <w:color w:val="000000"/>
                <w:sz w:val="24"/>
                <w:szCs w:val="24"/>
              </w:rPr>
              <w:t>Attacks, digitization</w:t>
            </w:r>
          </w:p>
        </w:tc>
      </w:tr>
    </w:tbl>
    <w:p w14:paraId="7C4CC41E" w14:textId="77777777" w:rsidR="0069743F" w:rsidRPr="002E18B5" w:rsidRDefault="0069743F" w:rsidP="002E18B5">
      <w:pPr>
        <w:spacing w:after="0" w:line="240" w:lineRule="auto"/>
        <w:rPr>
          <w:rFonts w:asciiTheme="majorHAnsi" w:hAnsiTheme="majorHAnsi"/>
          <w:sz w:val="24"/>
          <w:szCs w:val="24"/>
        </w:rPr>
      </w:pPr>
    </w:p>
    <w:p w14:paraId="280CB952" w14:textId="77777777" w:rsidR="0069743F" w:rsidRPr="002E18B5" w:rsidRDefault="00000000" w:rsidP="002E18B5">
      <w:pPr>
        <w:numPr>
          <w:ilvl w:val="0"/>
          <w:numId w:val="3"/>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lastRenderedPageBreak/>
        <w:t>Technical cybersecurity jobs massively outnumber policy-oriented ones in East Africa.</w:t>
      </w:r>
    </w:p>
    <w:p w14:paraId="0B2E5389" w14:textId="0C1BBAAE" w:rsidR="0069743F" w:rsidRPr="002E18B5" w:rsidRDefault="00000000" w:rsidP="002E18B5">
      <w:pPr>
        <w:numPr>
          <w:ilvl w:val="0"/>
          <w:numId w:val="3"/>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Policy jobs are strategic, focused on setting frameworks and compliance, and are rising in prestige as governments modernize, but remain a niche relative to the size of the technical job market.</w:t>
      </w:r>
      <w:bookmarkStart w:id="15" w:name="fnref3:4"/>
      <w:bookmarkStart w:id="16" w:name="fnref5:2"/>
      <w:bookmarkStart w:id="17" w:name="fnref2:4"/>
      <w:bookmarkEnd w:id="15"/>
      <w:bookmarkEnd w:id="16"/>
      <w:bookmarkEnd w:id="17"/>
      <w:r w:rsidR="002E18B5" w:rsidRPr="002E18B5">
        <w:rPr>
          <w:rFonts w:asciiTheme="majorHAnsi" w:hAnsiTheme="majorHAnsi"/>
          <w:sz w:val="24"/>
          <w:szCs w:val="24"/>
        </w:rPr>
        <w:t xml:space="preserve"> </w:t>
      </w:r>
    </w:p>
    <w:p w14:paraId="0B4772F5" w14:textId="2AD64287" w:rsidR="0069743F" w:rsidRDefault="00000000" w:rsidP="002E18B5">
      <w:pPr>
        <w:numPr>
          <w:ilvl w:val="0"/>
          <w:numId w:val="3"/>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Governments in Kenya, Uganda, and Rwanda are investing in both streams, but most available opportunities are technical in nature unless linked to specific government or donor-funded projects.</w:t>
      </w:r>
      <w:bookmarkStart w:id="18" w:name="fnref9"/>
      <w:bookmarkStart w:id="19" w:name="fnref1:1"/>
      <w:bookmarkStart w:id="20" w:name="fnref2:5"/>
      <w:bookmarkEnd w:id="18"/>
      <w:bookmarkEnd w:id="19"/>
      <w:bookmarkEnd w:id="20"/>
      <w:r w:rsidR="002E18B5" w:rsidRPr="002E18B5">
        <w:rPr>
          <w:rFonts w:asciiTheme="majorHAnsi" w:hAnsiTheme="majorHAnsi"/>
          <w:sz w:val="24"/>
          <w:szCs w:val="24"/>
        </w:rPr>
        <w:t xml:space="preserve"> </w:t>
      </w:r>
    </w:p>
    <w:p w14:paraId="68FD20E0" w14:textId="77777777" w:rsidR="002E18B5" w:rsidRPr="002E18B5" w:rsidRDefault="002E18B5" w:rsidP="002E18B5">
      <w:pPr>
        <w:spacing w:after="0" w:line="240" w:lineRule="auto"/>
        <w:ind w:left="540"/>
        <w:rPr>
          <w:rFonts w:asciiTheme="majorHAnsi" w:hAnsiTheme="majorHAnsi"/>
          <w:sz w:val="24"/>
          <w:szCs w:val="24"/>
        </w:rPr>
      </w:pPr>
    </w:p>
    <w:p w14:paraId="7D16571A" w14:textId="77777777" w:rsidR="002E18B5" w:rsidRDefault="002E18B5" w:rsidP="002E18B5">
      <w:pPr>
        <w:spacing w:after="0" w:line="240" w:lineRule="auto"/>
        <w:ind w:left="180"/>
        <w:rPr>
          <w:rFonts w:asciiTheme="majorHAnsi" w:eastAsia="inter" w:hAnsiTheme="majorHAnsi" w:cs="inter"/>
          <w:color w:val="000000"/>
          <w:sz w:val="24"/>
          <w:szCs w:val="24"/>
        </w:rPr>
      </w:pPr>
      <w:r w:rsidRPr="002E18B5">
        <w:rPr>
          <w:rFonts w:asciiTheme="majorHAnsi" w:eastAsia="inter" w:hAnsiTheme="majorHAnsi" w:cs="inter"/>
          <w:b/>
          <w:bCs/>
          <w:color w:val="000000"/>
          <w:sz w:val="24"/>
          <w:szCs w:val="24"/>
        </w:rPr>
        <w:t>S</w:t>
      </w:r>
      <w:r w:rsidR="00000000" w:rsidRPr="002E18B5">
        <w:rPr>
          <w:rFonts w:asciiTheme="majorHAnsi" w:eastAsia="inter" w:hAnsiTheme="majorHAnsi" w:cs="inter"/>
          <w:b/>
          <w:bCs/>
          <w:color w:val="000000"/>
          <w:sz w:val="24"/>
          <w:szCs w:val="24"/>
        </w:rPr>
        <w:t>ummary</w:t>
      </w:r>
      <w:r w:rsidR="00000000" w:rsidRPr="002E18B5">
        <w:rPr>
          <w:rFonts w:asciiTheme="majorHAnsi" w:eastAsia="inter" w:hAnsiTheme="majorHAnsi" w:cs="inter"/>
          <w:color w:val="000000"/>
          <w:sz w:val="24"/>
          <w:szCs w:val="24"/>
        </w:rPr>
        <w:t>:</w:t>
      </w:r>
      <w:r w:rsidR="00000000" w:rsidRPr="002E18B5">
        <w:rPr>
          <w:rFonts w:asciiTheme="majorHAnsi" w:eastAsia="inter" w:hAnsiTheme="majorHAnsi" w:cs="inter"/>
          <w:color w:val="000000"/>
          <w:sz w:val="24"/>
          <w:szCs w:val="24"/>
        </w:rPr>
        <w:br/>
      </w:r>
    </w:p>
    <w:p w14:paraId="60CB8742" w14:textId="77777777" w:rsidR="002E18B5" w:rsidRDefault="00000000" w:rsidP="002E18B5">
      <w:pPr>
        <w:spacing w:after="0" w:line="240" w:lineRule="auto"/>
        <w:ind w:left="180"/>
        <w:rPr>
          <w:rFonts w:asciiTheme="majorHAnsi" w:hAnsiTheme="majorHAnsi"/>
          <w:sz w:val="24"/>
          <w:szCs w:val="24"/>
        </w:rPr>
      </w:pPr>
      <w:r w:rsidRPr="002E18B5">
        <w:rPr>
          <w:rFonts w:asciiTheme="majorHAnsi" w:eastAsia="inter" w:hAnsiTheme="majorHAnsi" w:cs="inter"/>
          <w:color w:val="000000"/>
          <w:sz w:val="24"/>
          <w:szCs w:val="24"/>
        </w:rPr>
        <w:t>While cyber policy work is gaining momentum in East Africa’s public sector and among multinationals, technical cybersecurity positions—ranging from engineers to SOC analysts—dominate the market in scale, accessibility, and growth prospects. The region’s overall shortage of cyber talent is most acute in technical fields, but specialized cyber governance and compliance careers are set to grow alongside national digital transformation and regulatory reforms.</w:t>
      </w:r>
      <w:bookmarkStart w:id="21" w:name="fnref5:3"/>
      <w:bookmarkStart w:id="22" w:name="fnref2:6"/>
      <w:bookmarkStart w:id="23" w:name="fnref3:5"/>
      <w:bookmarkStart w:id="24" w:name="fnref8:2"/>
      <w:bookmarkEnd w:id="21"/>
      <w:bookmarkEnd w:id="22"/>
      <w:bookmarkEnd w:id="23"/>
      <w:bookmarkEnd w:id="24"/>
    </w:p>
    <w:p w14:paraId="522D9AF8" w14:textId="77777777" w:rsidR="002E18B5" w:rsidRDefault="002E18B5" w:rsidP="002E18B5">
      <w:pPr>
        <w:spacing w:after="0" w:line="240" w:lineRule="auto"/>
        <w:ind w:left="180"/>
        <w:rPr>
          <w:rFonts w:asciiTheme="majorHAnsi" w:hAnsiTheme="majorHAnsi"/>
          <w:sz w:val="24"/>
          <w:szCs w:val="24"/>
        </w:rPr>
      </w:pPr>
    </w:p>
    <w:p w14:paraId="2C99D552" w14:textId="1CB51E56" w:rsidR="002E18B5" w:rsidRPr="002E18B5" w:rsidRDefault="002E18B5" w:rsidP="002E18B5">
      <w:pPr>
        <w:spacing w:after="0" w:line="240" w:lineRule="auto"/>
        <w:ind w:left="180"/>
        <w:rPr>
          <w:rFonts w:asciiTheme="majorHAnsi" w:hAnsiTheme="majorHAnsi"/>
          <w:sz w:val="24"/>
          <w:szCs w:val="24"/>
        </w:rPr>
      </w:pPr>
      <w:r w:rsidRPr="002E18B5">
        <w:rPr>
          <w:rFonts w:asciiTheme="majorHAnsi" w:hAnsiTheme="majorHAnsi"/>
          <w:b/>
          <w:bCs/>
          <w:sz w:val="24"/>
          <w:szCs w:val="24"/>
        </w:rPr>
        <w:t>Top Employers for Cyber Policy</w:t>
      </w:r>
      <w:r w:rsidRPr="002E18B5">
        <w:rPr>
          <w:rFonts w:asciiTheme="majorHAnsi" w:eastAsia="inter" w:hAnsiTheme="majorHAnsi" w:cs="inter"/>
          <w:color w:val="000000"/>
          <w:sz w:val="24"/>
          <w:szCs w:val="24"/>
        </w:rPr>
        <w:t xml:space="preserve"> </w:t>
      </w:r>
      <w:r w:rsidR="00000000" w:rsidRPr="002E18B5">
        <w:rPr>
          <w:rFonts w:asciiTheme="majorHAnsi" w:eastAsia="inter" w:hAnsiTheme="majorHAnsi" w:cs="inter"/>
          <w:color w:val="000000"/>
          <w:sz w:val="24"/>
          <w:szCs w:val="24"/>
        </w:rPr>
        <w:br/>
      </w:r>
    </w:p>
    <w:p w14:paraId="5C24F657" w14:textId="110B59E0"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Communications Authority of Kenya (CAK) / National Kenya Computer Incident Response Team (KE-CIRT/CC)</w:t>
      </w:r>
      <w:r>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Kenya’s cyber policy regulator and incident response agency for national strategy, compliance, and regulation.</w:t>
      </w:r>
    </w:p>
    <w:p w14:paraId="304B489E" w14:textId="44B45B1E"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Safaricom &amp; M-Pesa Africa</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The biggest telecom and fintech platform in East Africa, with large cyber GRC, policy, and risk management teams across Kenya and the region.</w:t>
      </w:r>
      <w:bookmarkStart w:id="25" w:name="fnref1_1"/>
      <w:bookmarkEnd w:id="25"/>
      <w:r w:rsidRPr="002E18B5">
        <w:rPr>
          <w:rFonts w:asciiTheme="majorHAnsi" w:hAnsiTheme="majorHAnsi"/>
          <w:sz w:val="24"/>
          <w:szCs w:val="24"/>
        </w:rPr>
        <w:t xml:space="preserve"> </w:t>
      </w:r>
    </w:p>
    <w:p w14:paraId="1AD3A6E5" w14:textId="292ED882"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National Bank of Kenya, Equity Bank, KCB, Absa</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Major banks with regulatory-driven compliance and cyber policy teams; similar GRC teams are key at Stanbic, Standard Bank in Tanzania, and Absa in South Africa.</w:t>
      </w:r>
      <w:bookmarkStart w:id="26" w:name="fnref1_2"/>
      <w:bookmarkEnd w:id="26"/>
      <w:r w:rsidRPr="002E18B5">
        <w:rPr>
          <w:rFonts w:asciiTheme="majorHAnsi" w:hAnsiTheme="majorHAnsi"/>
          <w:sz w:val="24"/>
          <w:szCs w:val="24"/>
        </w:rPr>
        <w:t xml:space="preserve"> </w:t>
      </w:r>
    </w:p>
    <w:p w14:paraId="23B902D6" w14:textId="43F81B57"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South African Reserve Bank (SARB) &amp; South African National Cybersecurity Centre</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Government regulators and national authorities driving cyber policy and regulatory compliance in South Africa.</w:t>
      </w:r>
      <w:r w:rsidRPr="002E18B5">
        <w:rPr>
          <w:rFonts w:asciiTheme="majorHAnsi" w:hAnsiTheme="majorHAnsi"/>
          <w:sz w:val="24"/>
          <w:szCs w:val="24"/>
        </w:rPr>
        <w:t xml:space="preserve"> </w:t>
      </w:r>
    </w:p>
    <w:p w14:paraId="41CBE813" w14:textId="0459FD51"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 xml:space="preserve">Dimension Data East Africa (NTT) / </w:t>
      </w:r>
      <w:proofErr w:type="spellStart"/>
      <w:r w:rsidRPr="002E18B5">
        <w:rPr>
          <w:rFonts w:asciiTheme="majorHAnsi" w:eastAsia="inter" w:hAnsiTheme="majorHAnsi" w:cs="inter"/>
          <w:color w:val="000000"/>
          <w:sz w:val="24"/>
          <w:szCs w:val="24"/>
        </w:rPr>
        <w:t>Serianu</w:t>
      </w:r>
      <w:proofErr w:type="spellEnd"/>
      <w:r w:rsidRPr="002E18B5">
        <w:rPr>
          <w:rFonts w:asciiTheme="majorHAnsi" w:eastAsia="inter" w:hAnsiTheme="majorHAnsi" w:cs="inter"/>
          <w:color w:val="000000"/>
          <w:sz w:val="24"/>
          <w:szCs w:val="24"/>
        </w:rPr>
        <w:t xml:space="preserve"> Limited</w:t>
      </w:r>
      <w:r w:rsidRPr="002E18B5">
        <w:rPr>
          <w:rFonts w:asciiTheme="majorHAnsi" w:eastAsia="inter" w:hAnsiTheme="majorHAnsi" w:cs="inter"/>
          <w:color w:val="000000"/>
          <w:sz w:val="24"/>
          <w:szCs w:val="24"/>
        </w:rPr>
        <w:t>,</w:t>
      </w:r>
      <w:r>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Leading consultancies and managed security service providers offering GRC, audit, and policy services to banks, telcos, and government clients.</w:t>
      </w:r>
      <w:r w:rsidRPr="002E18B5">
        <w:rPr>
          <w:rFonts w:asciiTheme="majorHAnsi" w:hAnsiTheme="majorHAnsi"/>
          <w:sz w:val="24"/>
          <w:szCs w:val="24"/>
        </w:rPr>
        <w:t xml:space="preserve"> </w:t>
      </w:r>
    </w:p>
    <w:p w14:paraId="0F2E8242" w14:textId="1F1A69A0" w:rsid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MTN Group (South Africa, Uganda, Rwanda, Nigeria)</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Africa’s largest multi-country telecom, with dedicated GRC/cyber governance and risk functions.</w:t>
      </w:r>
      <w:bookmarkStart w:id="27" w:name="fnref3_1"/>
      <w:bookmarkStart w:id="28" w:name="fnref1_3"/>
      <w:bookmarkEnd w:id="27"/>
      <w:bookmarkEnd w:id="28"/>
      <w:r w:rsidRPr="002E18B5">
        <w:rPr>
          <w:rFonts w:asciiTheme="majorHAnsi" w:hAnsiTheme="majorHAnsi"/>
          <w:sz w:val="24"/>
          <w:szCs w:val="24"/>
        </w:rPr>
        <w:t xml:space="preserve"> </w:t>
      </w:r>
    </w:p>
    <w:p w14:paraId="0FB91898" w14:textId="34BE1DCE"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East African Data Handlers / East Africa Hi Tech Solutions</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Major digital security service providers in Kenya, driving cybersecurity policy, forensics, and regulatory projects for SMEs and government.</w:t>
      </w:r>
      <w:bookmarkStart w:id="29" w:name="fnref5_1"/>
      <w:bookmarkEnd w:id="29"/>
      <w:r w:rsidRPr="002E18B5">
        <w:rPr>
          <w:rFonts w:asciiTheme="majorHAnsi" w:hAnsiTheme="majorHAnsi"/>
          <w:sz w:val="24"/>
          <w:szCs w:val="24"/>
        </w:rPr>
        <w:t xml:space="preserve"> </w:t>
      </w:r>
    </w:p>
    <w:p w14:paraId="258861EE" w14:textId="1747A7A3"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Uganda Communications Commission &amp; National IT Authority-Uganda (NITA-U)</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Policy and regulatory agencies leading implementation of Uganda’s national cyber strategy and regulatory oversight.</w:t>
      </w:r>
      <w:r w:rsidRPr="002E18B5">
        <w:rPr>
          <w:rFonts w:asciiTheme="majorHAnsi" w:hAnsiTheme="majorHAnsi"/>
          <w:sz w:val="24"/>
          <w:szCs w:val="24"/>
        </w:rPr>
        <w:t xml:space="preserve"> </w:t>
      </w:r>
    </w:p>
    <w:p w14:paraId="30BD554D" w14:textId="338C909D"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t xml:space="preserve">Rand Mutual Assurance, </w:t>
      </w:r>
      <w:proofErr w:type="spellStart"/>
      <w:r w:rsidRPr="002E18B5">
        <w:rPr>
          <w:rFonts w:asciiTheme="majorHAnsi" w:eastAsia="inter" w:hAnsiTheme="majorHAnsi" w:cs="inter"/>
          <w:color w:val="000000"/>
          <w:sz w:val="24"/>
          <w:szCs w:val="24"/>
        </w:rPr>
        <w:t>Bluespec</w:t>
      </w:r>
      <w:proofErr w:type="spellEnd"/>
      <w:r w:rsidRPr="002E18B5">
        <w:rPr>
          <w:rFonts w:asciiTheme="majorHAnsi" w:eastAsia="inter" w:hAnsiTheme="majorHAnsi" w:cs="inter"/>
          <w:color w:val="000000"/>
          <w:sz w:val="24"/>
          <w:szCs w:val="24"/>
        </w:rPr>
        <w:t xml:space="preserve"> Holdings, Cyber Insight, Red Kite Security (South Africa)</w:t>
      </w:r>
      <w:r w:rsidRPr="002E18B5">
        <w:rPr>
          <w:rFonts w:asciiTheme="majorHAnsi" w:eastAsia="inter" w:hAnsiTheme="majorHAnsi" w:cs="inter"/>
          <w:color w:val="000000"/>
          <w:sz w:val="24"/>
          <w:szCs w:val="24"/>
        </w:rPr>
        <w:t xml:space="preserve">, </w:t>
      </w:r>
      <w:r>
        <w:rPr>
          <w:rFonts w:asciiTheme="majorHAnsi" w:eastAsia="inter" w:hAnsiTheme="majorHAnsi" w:cs="inter"/>
          <w:color w:val="000000"/>
          <w:sz w:val="24"/>
          <w:szCs w:val="24"/>
        </w:rPr>
        <w:t>K</w:t>
      </w:r>
      <w:r w:rsidRPr="002E18B5">
        <w:rPr>
          <w:rFonts w:asciiTheme="majorHAnsi" w:eastAsia="inter" w:hAnsiTheme="majorHAnsi" w:cs="inter"/>
          <w:color w:val="000000"/>
          <w:sz w:val="24"/>
          <w:szCs w:val="24"/>
        </w:rPr>
        <w:t>ey South African employers, especially in Cape Town and Johannesburg, hiring for GRC and policy/incident response functions.</w:t>
      </w:r>
      <w:bookmarkStart w:id="30" w:name="fnref3_2"/>
      <w:bookmarkEnd w:id="30"/>
      <w:r w:rsidRPr="002E18B5">
        <w:rPr>
          <w:rFonts w:asciiTheme="majorHAnsi" w:hAnsiTheme="majorHAnsi"/>
          <w:sz w:val="24"/>
          <w:szCs w:val="24"/>
        </w:rPr>
        <w:t xml:space="preserve"> </w:t>
      </w:r>
    </w:p>
    <w:p w14:paraId="05851AE2" w14:textId="75452477" w:rsidR="002E18B5" w:rsidRPr="002E18B5" w:rsidRDefault="002E18B5" w:rsidP="002E18B5">
      <w:pPr>
        <w:numPr>
          <w:ilvl w:val="0"/>
          <w:numId w:val="6"/>
        </w:numPr>
        <w:spacing w:after="0" w:line="240" w:lineRule="auto"/>
        <w:rPr>
          <w:rFonts w:asciiTheme="majorHAnsi" w:hAnsiTheme="majorHAnsi"/>
          <w:sz w:val="24"/>
          <w:szCs w:val="24"/>
        </w:rPr>
      </w:pPr>
      <w:r w:rsidRPr="002E18B5">
        <w:rPr>
          <w:rFonts w:asciiTheme="majorHAnsi" w:eastAsia="inter" w:hAnsiTheme="majorHAnsi" w:cs="inter"/>
          <w:color w:val="000000"/>
          <w:sz w:val="24"/>
          <w:szCs w:val="24"/>
        </w:rPr>
        <w:lastRenderedPageBreak/>
        <w:t>International Development &amp; Donor Projects (World Bank, African Union, IMF, large NGOs)</w:t>
      </w:r>
      <w:r w:rsidRPr="002E18B5">
        <w:rPr>
          <w:rFonts w:asciiTheme="majorHAnsi" w:eastAsia="inter" w:hAnsiTheme="majorHAnsi" w:cs="inter"/>
          <w:color w:val="000000"/>
          <w:sz w:val="24"/>
          <w:szCs w:val="24"/>
        </w:rPr>
        <w:t xml:space="preserve">, </w:t>
      </w:r>
      <w:r w:rsidRPr="002E18B5">
        <w:rPr>
          <w:rFonts w:asciiTheme="majorHAnsi" w:eastAsia="inter" w:hAnsiTheme="majorHAnsi" w:cs="inter"/>
          <w:color w:val="000000"/>
          <w:sz w:val="24"/>
          <w:szCs w:val="24"/>
        </w:rPr>
        <w:t>Fund cyber policy, digital regulation, and incident coordination projects, directly hiring or contracting senior GRC/policy experts for country or region-wide programs.</w:t>
      </w:r>
    </w:p>
    <w:sectPr w:rsidR="002E18B5" w:rsidRPr="002E18B5">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0B"/>
    <w:multiLevelType w:val="hybridMultilevel"/>
    <w:tmpl w:val="748EF768"/>
    <w:lvl w:ilvl="0" w:tplc="E69A2200">
      <w:start w:val="1"/>
      <w:numFmt w:val="bullet"/>
      <w:lvlText w:val=""/>
      <w:lvlJc w:val="left"/>
      <w:pPr>
        <w:tabs>
          <w:tab w:val="num" w:pos="900"/>
        </w:tabs>
        <w:ind w:left="540" w:hanging="360"/>
      </w:pPr>
      <w:rPr>
        <w:rFonts w:ascii="Symbol" w:hAnsi="Symbol" w:hint="default"/>
      </w:rPr>
    </w:lvl>
    <w:lvl w:ilvl="1" w:tplc="A77CEE3C">
      <w:numFmt w:val="decimal"/>
      <w:lvlText w:val=""/>
      <w:lvlJc w:val="left"/>
    </w:lvl>
    <w:lvl w:ilvl="2" w:tplc="0A5EF19A">
      <w:numFmt w:val="decimal"/>
      <w:lvlText w:val=""/>
      <w:lvlJc w:val="left"/>
    </w:lvl>
    <w:lvl w:ilvl="3" w:tplc="1FBCF414">
      <w:numFmt w:val="decimal"/>
      <w:lvlText w:val=""/>
      <w:lvlJc w:val="left"/>
    </w:lvl>
    <w:lvl w:ilvl="4" w:tplc="3DB6E6F0">
      <w:numFmt w:val="decimal"/>
      <w:lvlText w:val=""/>
      <w:lvlJc w:val="left"/>
    </w:lvl>
    <w:lvl w:ilvl="5" w:tplc="0DDAA854">
      <w:numFmt w:val="decimal"/>
      <w:lvlText w:val=""/>
      <w:lvlJc w:val="left"/>
    </w:lvl>
    <w:lvl w:ilvl="6" w:tplc="2954F07C">
      <w:numFmt w:val="decimal"/>
      <w:lvlText w:val=""/>
      <w:lvlJc w:val="left"/>
    </w:lvl>
    <w:lvl w:ilvl="7" w:tplc="898E9528">
      <w:numFmt w:val="decimal"/>
      <w:lvlText w:val=""/>
      <w:lvlJc w:val="left"/>
    </w:lvl>
    <w:lvl w:ilvl="8" w:tplc="8A905156">
      <w:numFmt w:val="decimal"/>
      <w:lvlText w:val=""/>
      <w:lvlJc w:val="left"/>
    </w:lvl>
  </w:abstractNum>
  <w:abstractNum w:abstractNumId="1" w15:restartNumberingAfterBreak="0">
    <w:nsid w:val="02ED75E5"/>
    <w:multiLevelType w:val="hybridMultilevel"/>
    <w:tmpl w:val="48FC4A1E"/>
    <w:lvl w:ilvl="0" w:tplc="DF184B6E">
      <w:start w:val="1"/>
      <w:numFmt w:val="bullet"/>
      <w:lvlText w:val=""/>
      <w:lvlJc w:val="left"/>
      <w:pPr>
        <w:tabs>
          <w:tab w:val="num" w:pos="900"/>
        </w:tabs>
        <w:ind w:left="540" w:hanging="360"/>
      </w:pPr>
      <w:rPr>
        <w:rFonts w:ascii="Symbol" w:hAnsi="Symbol" w:hint="default"/>
      </w:rPr>
    </w:lvl>
    <w:lvl w:ilvl="1" w:tplc="524A43B2">
      <w:numFmt w:val="decimal"/>
      <w:lvlText w:val=""/>
      <w:lvlJc w:val="left"/>
    </w:lvl>
    <w:lvl w:ilvl="2" w:tplc="8DCAFF64">
      <w:numFmt w:val="decimal"/>
      <w:lvlText w:val=""/>
      <w:lvlJc w:val="left"/>
    </w:lvl>
    <w:lvl w:ilvl="3" w:tplc="29AC1B18">
      <w:numFmt w:val="decimal"/>
      <w:lvlText w:val=""/>
      <w:lvlJc w:val="left"/>
    </w:lvl>
    <w:lvl w:ilvl="4" w:tplc="E3C6CB26">
      <w:numFmt w:val="decimal"/>
      <w:lvlText w:val=""/>
      <w:lvlJc w:val="left"/>
    </w:lvl>
    <w:lvl w:ilvl="5" w:tplc="2250B17C">
      <w:numFmt w:val="decimal"/>
      <w:lvlText w:val=""/>
      <w:lvlJc w:val="left"/>
    </w:lvl>
    <w:lvl w:ilvl="6" w:tplc="4FACDC94">
      <w:numFmt w:val="decimal"/>
      <w:lvlText w:val=""/>
      <w:lvlJc w:val="left"/>
    </w:lvl>
    <w:lvl w:ilvl="7" w:tplc="BF408E56">
      <w:numFmt w:val="decimal"/>
      <w:lvlText w:val=""/>
      <w:lvlJc w:val="left"/>
    </w:lvl>
    <w:lvl w:ilvl="8" w:tplc="0DFCD9C8">
      <w:numFmt w:val="decimal"/>
      <w:lvlText w:val=""/>
      <w:lvlJc w:val="left"/>
    </w:lvl>
  </w:abstractNum>
  <w:abstractNum w:abstractNumId="2" w15:restartNumberingAfterBreak="0">
    <w:nsid w:val="1F151EA8"/>
    <w:multiLevelType w:val="hybridMultilevel"/>
    <w:tmpl w:val="922E754A"/>
    <w:lvl w:ilvl="0" w:tplc="091E4154">
      <w:start w:val="1"/>
      <w:numFmt w:val="decimal"/>
      <w:lvlText w:val="%1."/>
      <w:lvlJc w:val="left"/>
      <w:pPr>
        <w:tabs>
          <w:tab w:val="num" w:pos="900"/>
        </w:tabs>
        <w:ind w:left="540" w:hanging="360"/>
      </w:pPr>
    </w:lvl>
    <w:lvl w:ilvl="1" w:tplc="C5A6FA46">
      <w:start w:val="1"/>
      <w:numFmt w:val="bullet"/>
      <w:lvlText w:val="o"/>
      <w:lvlJc w:val="left"/>
      <w:pPr>
        <w:tabs>
          <w:tab w:val="num" w:pos="1440"/>
        </w:tabs>
        <w:ind w:left="1080" w:hanging="360"/>
      </w:pPr>
      <w:rPr>
        <w:rFonts w:ascii="Courier New" w:hAnsi="Courier New" w:cs="Courier New" w:hint="default"/>
      </w:rPr>
    </w:lvl>
    <w:lvl w:ilvl="2" w:tplc="FA6CCEEA">
      <w:numFmt w:val="decimal"/>
      <w:lvlText w:val=""/>
      <w:lvlJc w:val="left"/>
    </w:lvl>
    <w:lvl w:ilvl="3" w:tplc="98B8664E">
      <w:numFmt w:val="decimal"/>
      <w:lvlText w:val=""/>
      <w:lvlJc w:val="left"/>
    </w:lvl>
    <w:lvl w:ilvl="4" w:tplc="5EAC4B9C">
      <w:numFmt w:val="decimal"/>
      <w:lvlText w:val=""/>
      <w:lvlJc w:val="left"/>
    </w:lvl>
    <w:lvl w:ilvl="5" w:tplc="2A986F86">
      <w:numFmt w:val="decimal"/>
      <w:lvlText w:val=""/>
      <w:lvlJc w:val="left"/>
    </w:lvl>
    <w:lvl w:ilvl="6" w:tplc="CF707CF2">
      <w:numFmt w:val="decimal"/>
      <w:lvlText w:val=""/>
      <w:lvlJc w:val="left"/>
    </w:lvl>
    <w:lvl w:ilvl="7" w:tplc="AC0E2F78">
      <w:numFmt w:val="decimal"/>
      <w:lvlText w:val=""/>
      <w:lvlJc w:val="left"/>
    </w:lvl>
    <w:lvl w:ilvl="8" w:tplc="56C8A2D8">
      <w:numFmt w:val="decimal"/>
      <w:lvlText w:val=""/>
      <w:lvlJc w:val="left"/>
    </w:lvl>
  </w:abstractNum>
  <w:abstractNum w:abstractNumId="3" w15:restartNumberingAfterBreak="0">
    <w:nsid w:val="40804119"/>
    <w:multiLevelType w:val="hybridMultilevel"/>
    <w:tmpl w:val="2F90EFDC"/>
    <w:lvl w:ilvl="0" w:tplc="83BE9A4C">
      <w:numFmt w:val="decimal"/>
      <w:lvlText w:val=""/>
      <w:lvlJc w:val="left"/>
    </w:lvl>
    <w:lvl w:ilvl="1" w:tplc="FE1C07B6">
      <w:numFmt w:val="decimal"/>
      <w:lvlText w:val=""/>
      <w:lvlJc w:val="left"/>
    </w:lvl>
    <w:lvl w:ilvl="2" w:tplc="2BC69B9A">
      <w:numFmt w:val="decimal"/>
      <w:lvlText w:val=""/>
      <w:lvlJc w:val="left"/>
    </w:lvl>
    <w:lvl w:ilvl="3" w:tplc="FF4EDC16">
      <w:numFmt w:val="decimal"/>
      <w:lvlText w:val=""/>
      <w:lvlJc w:val="left"/>
    </w:lvl>
    <w:lvl w:ilvl="4" w:tplc="CA383E8A">
      <w:numFmt w:val="decimal"/>
      <w:lvlText w:val=""/>
      <w:lvlJc w:val="left"/>
    </w:lvl>
    <w:lvl w:ilvl="5" w:tplc="9F203800">
      <w:numFmt w:val="decimal"/>
      <w:lvlText w:val=""/>
      <w:lvlJc w:val="left"/>
    </w:lvl>
    <w:lvl w:ilvl="6" w:tplc="C074B1F0">
      <w:numFmt w:val="decimal"/>
      <w:lvlText w:val=""/>
      <w:lvlJc w:val="left"/>
    </w:lvl>
    <w:lvl w:ilvl="7" w:tplc="C1A69B60">
      <w:numFmt w:val="decimal"/>
      <w:lvlText w:val=""/>
      <w:lvlJc w:val="left"/>
    </w:lvl>
    <w:lvl w:ilvl="8" w:tplc="40CC20B0">
      <w:numFmt w:val="decimal"/>
      <w:lvlText w:val=""/>
      <w:lvlJc w:val="left"/>
    </w:lvl>
  </w:abstractNum>
  <w:abstractNum w:abstractNumId="4" w15:restartNumberingAfterBreak="0">
    <w:nsid w:val="4954632C"/>
    <w:multiLevelType w:val="hybridMultilevel"/>
    <w:tmpl w:val="B6AEA128"/>
    <w:lvl w:ilvl="0" w:tplc="F87E7C8C">
      <w:start w:val="1"/>
      <w:numFmt w:val="decimal"/>
      <w:lvlText w:val="%1."/>
      <w:lvlJc w:val="left"/>
      <w:pPr>
        <w:tabs>
          <w:tab w:val="num" w:pos="900"/>
        </w:tabs>
        <w:ind w:left="540" w:hanging="360"/>
      </w:pPr>
    </w:lvl>
    <w:lvl w:ilvl="1" w:tplc="88907EB2">
      <w:numFmt w:val="decimal"/>
      <w:lvlText w:val=""/>
      <w:lvlJc w:val="left"/>
    </w:lvl>
    <w:lvl w:ilvl="2" w:tplc="F0E2B70E">
      <w:numFmt w:val="decimal"/>
      <w:lvlText w:val=""/>
      <w:lvlJc w:val="left"/>
    </w:lvl>
    <w:lvl w:ilvl="3" w:tplc="46301614">
      <w:numFmt w:val="decimal"/>
      <w:lvlText w:val=""/>
      <w:lvlJc w:val="left"/>
    </w:lvl>
    <w:lvl w:ilvl="4" w:tplc="3FE6B7AC">
      <w:numFmt w:val="decimal"/>
      <w:lvlText w:val=""/>
      <w:lvlJc w:val="left"/>
    </w:lvl>
    <w:lvl w:ilvl="5" w:tplc="C36CBBC6">
      <w:numFmt w:val="decimal"/>
      <w:lvlText w:val=""/>
      <w:lvlJc w:val="left"/>
    </w:lvl>
    <w:lvl w:ilvl="6" w:tplc="1E7A8F62">
      <w:numFmt w:val="decimal"/>
      <w:lvlText w:val=""/>
      <w:lvlJc w:val="left"/>
    </w:lvl>
    <w:lvl w:ilvl="7" w:tplc="2D765782">
      <w:numFmt w:val="decimal"/>
      <w:lvlText w:val=""/>
      <w:lvlJc w:val="left"/>
    </w:lvl>
    <w:lvl w:ilvl="8" w:tplc="83303628">
      <w:numFmt w:val="decimal"/>
      <w:lvlText w:val=""/>
      <w:lvlJc w:val="left"/>
    </w:lvl>
  </w:abstractNum>
  <w:abstractNum w:abstractNumId="5" w15:restartNumberingAfterBreak="0">
    <w:nsid w:val="79A171D6"/>
    <w:multiLevelType w:val="hybridMultilevel"/>
    <w:tmpl w:val="FDC2A5F6"/>
    <w:lvl w:ilvl="0" w:tplc="6792CD70">
      <w:start w:val="1"/>
      <w:numFmt w:val="bullet"/>
      <w:lvlText w:val=""/>
      <w:lvlJc w:val="left"/>
      <w:pPr>
        <w:tabs>
          <w:tab w:val="num" w:pos="900"/>
        </w:tabs>
        <w:ind w:left="540" w:hanging="360"/>
      </w:pPr>
      <w:rPr>
        <w:rFonts w:ascii="Symbol" w:hAnsi="Symbol" w:hint="default"/>
      </w:rPr>
    </w:lvl>
    <w:lvl w:ilvl="1" w:tplc="BE3EC0EE">
      <w:numFmt w:val="decimal"/>
      <w:lvlText w:val=""/>
      <w:lvlJc w:val="left"/>
    </w:lvl>
    <w:lvl w:ilvl="2" w:tplc="0268CD82">
      <w:numFmt w:val="decimal"/>
      <w:lvlText w:val=""/>
      <w:lvlJc w:val="left"/>
    </w:lvl>
    <w:lvl w:ilvl="3" w:tplc="94ACF404">
      <w:numFmt w:val="decimal"/>
      <w:lvlText w:val=""/>
      <w:lvlJc w:val="left"/>
    </w:lvl>
    <w:lvl w:ilvl="4" w:tplc="F9FCD718">
      <w:numFmt w:val="decimal"/>
      <w:lvlText w:val=""/>
      <w:lvlJc w:val="left"/>
    </w:lvl>
    <w:lvl w:ilvl="5" w:tplc="6B44AEE2">
      <w:numFmt w:val="decimal"/>
      <w:lvlText w:val=""/>
      <w:lvlJc w:val="left"/>
    </w:lvl>
    <w:lvl w:ilvl="6" w:tplc="A8C89E2E">
      <w:numFmt w:val="decimal"/>
      <w:lvlText w:val=""/>
      <w:lvlJc w:val="left"/>
    </w:lvl>
    <w:lvl w:ilvl="7" w:tplc="F4CCE166">
      <w:numFmt w:val="decimal"/>
      <w:lvlText w:val=""/>
      <w:lvlJc w:val="left"/>
    </w:lvl>
    <w:lvl w:ilvl="8" w:tplc="C07E5AC8">
      <w:numFmt w:val="decimal"/>
      <w:lvlText w:val=""/>
      <w:lvlJc w:val="left"/>
    </w:lvl>
  </w:abstractNum>
  <w:num w:numId="1" w16cid:durableId="347148221">
    <w:abstractNumId w:val="1"/>
  </w:num>
  <w:num w:numId="2" w16cid:durableId="1473980047">
    <w:abstractNumId w:val="5"/>
  </w:num>
  <w:num w:numId="3" w16cid:durableId="412316819">
    <w:abstractNumId w:val="0"/>
  </w:num>
  <w:num w:numId="4" w16cid:durableId="1966110220">
    <w:abstractNumId w:val="3"/>
  </w:num>
  <w:num w:numId="5" w16cid:durableId="1391733941">
    <w:abstractNumId w:val="4"/>
  </w:num>
  <w:num w:numId="6" w16cid:durableId="209593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3F"/>
    <w:rsid w:val="002E18B5"/>
    <w:rsid w:val="0069743F"/>
    <w:rsid w:val="006A2B38"/>
    <w:rsid w:val="007D63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70D4"/>
  <w15:docId w15:val="{26D61471-9CD0-434D-B43D-EF6829E9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545</Words>
  <Characters>4609</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Greg Austin</cp:lastModifiedBy>
  <cp:revision>2</cp:revision>
  <dcterms:created xsi:type="dcterms:W3CDTF">2025-10-08T16:28:00Z</dcterms:created>
  <dcterms:modified xsi:type="dcterms:W3CDTF">2025-10-08T22:39:00Z</dcterms:modified>
</cp:coreProperties>
</file>