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F5F2D" w14:textId="5777A3A1" w:rsidR="00613A3D" w:rsidRDefault="00613A3D" w:rsidP="00613A3D">
      <w:pPr>
        <w:spacing w:after="0" w:line="240" w:lineRule="auto"/>
        <w:jc w:val="center"/>
        <w:rPr>
          <w:rFonts w:ascii="Aptos Display" w:eastAsia="inter" w:hAnsi="Aptos Display" w:cs="inter"/>
          <w:b/>
          <w:bCs/>
          <w:color w:val="000000"/>
          <w:sz w:val="24"/>
          <w:szCs w:val="24"/>
        </w:rPr>
      </w:pPr>
      <w:r w:rsidRPr="00613A3D">
        <w:rPr>
          <w:rFonts w:ascii="Aptos Display" w:eastAsia="inter" w:hAnsi="Aptos Display" w:cs="inter"/>
          <w:b/>
          <w:bCs/>
          <w:color w:val="000000"/>
          <w:sz w:val="24"/>
          <w:szCs w:val="24"/>
        </w:rPr>
        <w:t>Market Analysis Persian Gulf</w:t>
      </w:r>
    </w:p>
    <w:p w14:paraId="754FEBD3" w14:textId="77777777" w:rsidR="00613A3D" w:rsidRPr="00613A3D" w:rsidRDefault="00613A3D" w:rsidP="00613A3D">
      <w:pPr>
        <w:spacing w:after="0" w:line="240" w:lineRule="auto"/>
        <w:jc w:val="center"/>
        <w:rPr>
          <w:rFonts w:ascii="Aptos Display" w:eastAsia="inter" w:hAnsi="Aptos Display" w:cs="inter"/>
          <w:b/>
          <w:bCs/>
          <w:color w:val="000000"/>
          <w:sz w:val="24"/>
          <w:szCs w:val="24"/>
        </w:rPr>
      </w:pPr>
    </w:p>
    <w:p w14:paraId="689E3FE3" w14:textId="4E694147" w:rsidR="000F26DF" w:rsidRDefault="00000000" w:rsidP="00613A3D">
      <w:pPr>
        <w:spacing w:after="0" w:line="240" w:lineRule="auto"/>
        <w:rPr>
          <w:rFonts w:ascii="Aptos Display" w:eastAsia="inter" w:hAnsi="Aptos Display" w:cs="inter"/>
          <w:color w:val="000000"/>
          <w:sz w:val="24"/>
          <w:szCs w:val="24"/>
        </w:rPr>
      </w:pPr>
      <w:r w:rsidRPr="00613A3D">
        <w:rPr>
          <w:rFonts w:ascii="Aptos Display" w:eastAsia="inter" w:hAnsi="Aptos Display" w:cs="inter"/>
          <w:color w:val="000000"/>
          <w:sz w:val="24"/>
          <w:szCs w:val="24"/>
        </w:rPr>
        <w:t xml:space="preserve">In Persian Gulf countries (GCC: Saudi Arabia, UAE, Qatar, Bahrain, Kuwait, Oman), the job market for technical cybersecurity roles vastly outpaces that for cyber policy specialists, but both segments are expanding due to rapid </w:t>
      </w:r>
      <w:proofErr w:type="spellStart"/>
      <w:r w:rsidRPr="00613A3D">
        <w:rPr>
          <w:rFonts w:ascii="Aptos Display" w:eastAsia="inter" w:hAnsi="Aptos Display" w:cs="inter"/>
          <w:color w:val="000000"/>
          <w:sz w:val="24"/>
          <w:szCs w:val="24"/>
        </w:rPr>
        <w:t>digitalisation</w:t>
      </w:r>
      <w:proofErr w:type="spellEnd"/>
      <w:r w:rsidRPr="00613A3D">
        <w:rPr>
          <w:rFonts w:ascii="Aptos Display" w:eastAsia="inter" w:hAnsi="Aptos Display" w:cs="inter"/>
          <w:color w:val="000000"/>
          <w:sz w:val="24"/>
          <w:szCs w:val="24"/>
        </w:rPr>
        <w:t>, regulatory reform, and national cyber strategies.</w:t>
      </w:r>
      <w:r w:rsidR="00F664FB">
        <w:rPr>
          <w:rFonts w:ascii="Aptos Display" w:eastAsia="inter" w:hAnsi="Aptos Display" w:cs="inter"/>
          <w:color w:val="000000"/>
          <w:sz w:val="24"/>
          <w:szCs w:val="24"/>
        </w:rPr>
        <w:t xml:space="preserve"> </w:t>
      </w:r>
      <w:r w:rsidR="00F664FB" w:rsidRPr="00F664FB">
        <w:rPr>
          <w:rFonts w:ascii="Aptos Display" w:eastAsia="inter" w:hAnsi="Aptos Display" w:cs="inter"/>
          <w:bCs/>
          <w:color w:val="000000"/>
          <w:sz w:val="24"/>
          <w:szCs w:val="24"/>
        </w:rPr>
        <w:t>Policy jobs are high-impact and increasingly well-paid, especially for those who can bridge technical and regulatory gaps</w:t>
      </w:r>
      <w:r w:rsidR="00F664FB">
        <w:rPr>
          <w:rFonts w:ascii="Aptos Display" w:eastAsia="inter" w:hAnsi="Aptos Display" w:cs="inter"/>
          <w:bCs/>
          <w:color w:val="000000"/>
          <w:sz w:val="24"/>
          <w:szCs w:val="24"/>
        </w:rPr>
        <w:t>.</w:t>
      </w:r>
    </w:p>
    <w:p w14:paraId="2295DACF" w14:textId="77777777" w:rsidR="00F664FB" w:rsidRPr="00613A3D" w:rsidRDefault="00F664FB" w:rsidP="00613A3D">
      <w:pPr>
        <w:spacing w:after="0" w:line="240" w:lineRule="auto"/>
        <w:rPr>
          <w:rFonts w:ascii="Aptos Display" w:hAnsi="Aptos Display"/>
          <w:sz w:val="24"/>
          <w:szCs w:val="24"/>
        </w:rPr>
      </w:pPr>
    </w:p>
    <w:p w14:paraId="1A05DD2E" w14:textId="77777777" w:rsidR="000F26DF" w:rsidRDefault="00000000" w:rsidP="00613A3D">
      <w:pPr>
        <w:spacing w:after="0" w:line="240" w:lineRule="auto"/>
        <w:ind w:left="-30"/>
        <w:rPr>
          <w:rFonts w:ascii="Aptos Display" w:eastAsia="inter" w:hAnsi="Aptos Display" w:cs="inter"/>
          <w:b/>
          <w:color w:val="000000"/>
          <w:sz w:val="24"/>
          <w:szCs w:val="24"/>
        </w:rPr>
      </w:pPr>
      <w:bookmarkStart w:id="0" w:name="technical_cybersecurity_job_market"/>
      <w:r w:rsidRPr="00613A3D">
        <w:rPr>
          <w:rFonts w:ascii="Aptos Display" w:eastAsia="inter" w:hAnsi="Aptos Display" w:cs="inter"/>
          <w:b/>
          <w:color w:val="000000"/>
          <w:sz w:val="24"/>
          <w:szCs w:val="24"/>
        </w:rPr>
        <w:t>Technical Cybersecurity Job Market</w:t>
      </w:r>
      <w:bookmarkEnd w:id="0"/>
    </w:p>
    <w:p w14:paraId="6A73982B" w14:textId="77777777" w:rsidR="00F664FB" w:rsidRPr="00613A3D" w:rsidRDefault="00F664FB" w:rsidP="00613A3D">
      <w:pPr>
        <w:spacing w:after="0" w:line="240" w:lineRule="auto"/>
        <w:ind w:left="-30"/>
        <w:rPr>
          <w:rFonts w:ascii="Aptos Display" w:hAnsi="Aptos Display"/>
          <w:sz w:val="24"/>
          <w:szCs w:val="24"/>
        </w:rPr>
      </w:pPr>
    </w:p>
    <w:p w14:paraId="6E02EEE5" w14:textId="0E1C188E" w:rsidR="000F26DF" w:rsidRPr="00F664FB" w:rsidRDefault="00000000" w:rsidP="00613A3D">
      <w:pPr>
        <w:numPr>
          <w:ilvl w:val="0"/>
          <w:numId w:val="1"/>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Booming Demand: Technical roles—such as security engineers, analysts, cloud security architects, SOC specialists, and penetration testers—are experiencing explosive growth, with over a million new jobs projected in Saudi Arabia alone by the end of 2025.</w:t>
      </w:r>
      <w:bookmarkStart w:id="1" w:name="fnref1"/>
      <w:bookmarkEnd w:id="1"/>
      <w:r w:rsidR="00F664FB" w:rsidRPr="00F664FB">
        <w:rPr>
          <w:rFonts w:ascii="Aptos Display" w:hAnsi="Aptos Display"/>
          <w:bCs/>
          <w:sz w:val="24"/>
          <w:szCs w:val="24"/>
        </w:rPr>
        <w:t xml:space="preserve"> </w:t>
      </w:r>
    </w:p>
    <w:p w14:paraId="0193C872" w14:textId="349AC5E1" w:rsidR="000F26DF" w:rsidRPr="00F664FB" w:rsidRDefault="00000000" w:rsidP="00613A3D">
      <w:pPr>
        <w:numPr>
          <w:ilvl w:val="0"/>
          <w:numId w:val="1"/>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Government and Private Sector: The private sector (especially oil &amp; gas, finance, telecom) accounts for nearly 70% of all cyber hires, while central governments are ramping up technical security staffing for digital transformation and critical infrastructure protection.</w:t>
      </w:r>
      <w:bookmarkStart w:id="2" w:name="fnref2"/>
      <w:bookmarkStart w:id="3" w:name="fnref1_1"/>
      <w:bookmarkEnd w:id="2"/>
      <w:bookmarkEnd w:id="3"/>
      <w:r w:rsidR="00F664FB" w:rsidRPr="00F664FB">
        <w:rPr>
          <w:rFonts w:ascii="Aptos Display" w:hAnsi="Aptos Display"/>
          <w:bCs/>
          <w:sz w:val="24"/>
          <w:szCs w:val="24"/>
        </w:rPr>
        <w:t xml:space="preserve"> </w:t>
      </w:r>
    </w:p>
    <w:p w14:paraId="1D7D7DA1" w14:textId="49472934" w:rsidR="000F26DF" w:rsidRPr="00F664FB" w:rsidRDefault="00000000" w:rsidP="00613A3D">
      <w:pPr>
        <w:numPr>
          <w:ilvl w:val="0"/>
          <w:numId w:val="1"/>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Shortage of Talent: The region faces an acute cyber skills shortage, especially in technical areas, with a predicted deficit of 20,000+ roles in Saudi Arabia and similar gaps across the UAE and Qatar.</w:t>
      </w:r>
      <w:bookmarkStart w:id="4" w:name="fnref3"/>
      <w:bookmarkStart w:id="5" w:name="fnref1_2"/>
      <w:bookmarkEnd w:id="4"/>
      <w:bookmarkEnd w:id="5"/>
      <w:r w:rsidR="00F664FB" w:rsidRPr="00F664FB">
        <w:rPr>
          <w:rFonts w:ascii="Aptos Display" w:hAnsi="Aptos Display"/>
          <w:bCs/>
          <w:sz w:val="24"/>
          <w:szCs w:val="24"/>
        </w:rPr>
        <w:t xml:space="preserve"> </w:t>
      </w:r>
    </w:p>
    <w:p w14:paraId="72495683" w14:textId="0F199124" w:rsidR="000F26DF" w:rsidRPr="00613A3D" w:rsidRDefault="00000000" w:rsidP="00613A3D">
      <w:pPr>
        <w:numPr>
          <w:ilvl w:val="0"/>
          <w:numId w:val="1"/>
        </w:numPr>
        <w:spacing w:after="0" w:line="240" w:lineRule="auto"/>
        <w:rPr>
          <w:rFonts w:ascii="Aptos Display" w:hAnsi="Aptos Display"/>
          <w:sz w:val="24"/>
          <w:szCs w:val="24"/>
        </w:rPr>
      </w:pPr>
      <w:r w:rsidRPr="00F664FB">
        <w:rPr>
          <w:rFonts w:ascii="Aptos Display" w:eastAsia="inter" w:hAnsi="Aptos Display" w:cs="inter"/>
          <w:bCs/>
          <w:color w:val="000000"/>
          <w:sz w:val="24"/>
          <w:szCs w:val="24"/>
        </w:rPr>
        <w:t>Entry Opportunities: Career entry is easier for technical professionals due to programs, bootcamps, and high demand a</w:t>
      </w:r>
      <w:r w:rsidRPr="00613A3D">
        <w:rPr>
          <w:rFonts w:ascii="Aptos Display" w:eastAsia="inter" w:hAnsi="Aptos Display" w:cs="inter"/>
          <w:color w:val="000000"/>
          <w:sz w:val="24"/>
          <w:szCs w:val="24"/>
        </w:rPr>
        <w:t>cross industry verticals.</w:t>
      </w:r>
      <w:bookmarkStart w:id="6" w:name="fnref4"/>
      <w:bookmarkStart w:id="7" w:name="fnref1_3"/>
      <w:bookmarkEnd w:id="6"/>
      <w:bookmarkEnd w:id="7"/>
      <w:r w:rsidR="00F664FB" w:rsidRPr="00613A3D">
        <w:rPr>
          <w:rFonts w:ascii="Aptos Display" w:hAnsi="Aptos Display"/>
          <w:sz w:val="24"/>
          <w:szCs w:val="24"/>
        </w:rPr>
        <w:t xml:space="preserve"> </w:t>
      </w:r>
    </w:p>
    <w:p w14:paraId="6F92D779" w14:textId="77777777" w:rsidR="00F664FB" w:rsidRDefault="00F664FB" w:rsidP="00613A3D">
      <w:pPr>
        <w:spacing w:after="0" w:line="240" w:lineRule="auto"/>
        <w:ind w:left="-30"/>
        <w:rPr>
          <w:rFonts w:ascii="Aptos Display" w:eastAsia="inter" w:hAnsi="Aptos Display" w:cs="inter"/>
          <w:b/>
          <w:color w:val="000000"/>
          <w:sz w:val="24"/>
          <w:szCs w:val="24"/>
        </w:rPr>
      </w:pPr>
      <w:bookmarkStart w:id="8" w:name="cyber_policy_job_market"/>
    </w:p>
    <w:p w14:paraId="0288E0CF" w14:textId="7B546425" w:rsidR="000F26DF" w:rsidRDefault="00000000" w:rsidP="00613A3D">
      <w:pPr>
        <w:spacing w:after="0" w:line="240" w:lineRule="auto"/>
        <w:ind w:left="-30"/>
        <w:rPr>
          <w:rFonts w:ascii="Aptos Display" w:eastAsia="inter" w:hAnsi="Aptos Display" w:cs="inter"/>
          <w:b/>
          <w:color w:val="000000"/>
          <w:sz w:val="24"/>
          <w:szCs w:val="24"/>
        </w:rPr>
      </w:pPr>
      <w:r w:rsidRPr="00613A3D">
        <w:rPr>
          <w:rFonts w:ascii="Aptos Display" w:eastAsia="inter" w:hAnsi="Aptos Display" w:cs="inter"/>
          <w:b/>
          <w:color w:val="000000"/>
          <w:sz w:val="24"/>
          <w:szCs w:val="24"/>
        </w:rPr>
        <w:t>Cyber Policy Job Market</w:t>
      </w:r>
      <w:bookmarkEnd w:id="8"/>
    </w:p>
    <w:p w14:paraId="0068A02A" w14:textId="77777777" w:rsidR="00F664FB" w:rsidRPr="00613A3D" w:rsidRDefault="00F664FB" w:rsidP="00613A3D">
      <w:pPr>
        <w:spacing w:after="0" w:line="240" w:lineRule="auto"/>
        <w:ind w:left="-30"/>
        <w:rPr>
          <w:rFonts w:ascii="Aptos Display" w:hAnsi="Aptos Display"/>
          <w:sz w:val="24"/>
          <w:szCs w:val="24"/>
        </w:rPr>
      </w:pPr>
    </w:p>
    <w:p w14:paraId="58250EC9" w14:textId="013074C7" w:rsidR="000F26DF" w:rsidRPr="00F664FB" w:rsidRDefault="00000000" w:rsidP="00613A3D">
      <w:pPr>
        <w:numPr>
          <w:ilvl w:val="0"/>
          <w:numId w:val="2"/>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Strategic Growth, Limited Volume: Cyber policy, GRC, and regulatory compliance roles are growing, primarily driven by the rollout of new data protection laws, financial sector regulation, critical infrastructure requirements, and national cyber frameworks (e.g., Saudi NCA, UAE NCSC, Qatar Q-CERT).</w:t>
      </w:r>
      <w:bookmarkStart w:id="9" w:name="fnref5"/>
      <w:bookmarkStart w:id="10" w:name="fnref2_1"/>
      <w:bookmarkStart w:id="11" w:name="fnref3_1"/>
      <w:bookmarkEnd w:id="9"/>
      <w:bookmarkEnd w:id="10"/>
      <w:bookmarkEnd w:id="11"/>
      <w:r w:rsidR="00F664FB" w:rsidRPr="00F664FB">
        <w:rPr>
          <w:rFonts w:ascii="Aptos Display" w:hAnsi="Aptos Display"/>
          <w:bCs/>
          <w:sz w:val="24"/>
          <w:szCs w:val="24"/>
        </w:rPr>
        <w:t xml:space="preserve"> </w:t>
      </w:r>
    </w:p>
    <w:p w14:paraId="20B50798" w14:textId="77777777" w:rsidR="000F26DF" w:rsidRPr="00F664FB" w:rsidRDefault="00000000" w:rsidP="00613A3D">
      <w:pPr>
        <w:numPr>
          <w:ilvl w:val="0"/>
          <w:numId w:val="2"/>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Key Employers: Ministries of interior, digital economy, national cyber authorities/agencies, banks, and energy companies are building cyber policy teams to interpret regulations, oversee compliance, and interface with global standards bodies.</w:t>
      </w:r>
    </w:p>
    <w:p w14:paraId="5BF12324" w14:textId="45E994F9" w:rsidR="000F26DF" w:rsidRPr="00F664FB" w:rsidRDefault="00000000" w:rsidP="00613A3D">
      <w:pPr>
        <w:numPr>
          <w:ilvl w:val="0"/>
          <w:numId w:val="2"/>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Profile of Hires: GRC/policy roles are generally targeted at mid to senior professionals with proven experience in law, compliance, or government, with fewer positions available for early-career entrants compared to technical roles.</w:t>
      </w:r>
      <w:bookmarkStart w:id="12" w:name="fnref1_4"/>
      <w:bookmarkStart w:id="13" w:name="fnref3_2"/>
      <w:bookmarkEnd w:id="12"/>
      <w:bookmarkEnd w:id="13"/>
      <w:r w:rsidR="00F664FB" w:rsidRPr="00F664FB">
        <w:rPr>
          <w:rFonts w:ascii="Aptos Display" w:hAnsi="Aptos Display"/>
          <w:bCs/>
          <w:sz w:val="24"/>
          <w:szCs w:val="24"/>
        </w:rPr>
        <w:t xml:space="preserve"> </w:t>
      </w:r>
    </w:p>
    <w:p w14:paraId="4CDDFC83" w14:textId="77777777" w:rsidR="000F26DF" w:rsidRPr="00F664FB" w:rsidRDefault="00000000" w:rsidP="00613A3D">
      <w:pPr>
        <w:numPr>
          <w:ilvl w:val="0"/>
          <w:numId w:val="2"/>
        </w:numPr>
        <w:spacing w:after="0" w:line="240" w:lineRule="auto"/>
        <w:rPr>
          <w:rFonts w:ascii="Aptos Display" w:hAnsi="Aptos Display"/>
          <w:bCs/>
          <w:sz w:val="24"/>
          <w:szCs w:val="24"/>
        </w:rPr>
      </w:pPr>
      <w:r w:rsidRPr="00F664FB">
        <w:rPr>
          <w:rFonts w:ascii="Aptos Display" w:eastAsia="inter" w:hAnsi="Aptos Display" w:cs="inter"/>
          <w:bCs/>
          <w:color w:val="000000"/>
          <w:sz w:val="24"/>
          <w:szCs w:val="24"/>
        </w:rPr>
        <w:t>Market Comparison: Policy jobs are high-impact and increasingly well-paid, especially for those who can bridge technical and regulatory gaps, but their absolute number remains much smaller than technical execution roles.</w:t>
      </w:r>
    </w:p>
    <w:p w14:paraId="1CE2D514" w14:textId="77777777" w:rsidR="00F664FB" w:rsidRPr="00613A3D" w:rsidRDefault="00F664FB" w:rsidP="00F664FB">
      <w:pPr>
        <w:numPr>
          <w:ilvl w:val="0"/>
          <w:numId w:val="2"/>
        </w:numPr>
        <w:spacing w:after="0" w:line="240" w:lineRule="auto"/>
        <w:rPr>
          <w:rFonts w:ascii="Aptos Display" w:hAnsi="Aptos Display"/>
          <w:sz w:val="24"/>
          <w:szCs w:val="24"/>
        </w:rPr>
      </w:pPr>
      <w:r w:rsidRPr="00613A3D">
        <w:rPr>
          <w:rFonts w:ascii="Aptos Display" w:eastAsia="inter" w:hAnsi="Aptos Display" w:cs="inter"/>
          <w:color w:val="000000"/>
          <w:sz w:val="24"/>
          <w:szCs w:val="24"/>
        </w:rPr>
        <w:t>Most policy roles require prior experience in legal, regulatory, or public administration, meaning fewer direct-entry opportunities. They are typically filled at mid-senior level and valued for their impact, especially in government and regulated industries.</w:t>
      </w:r>
    </w:p>
    <w:p w14:paraId="514D487D" w14:textId="451528CC" w:rsidR="00F664FB" w:rsidRPr="00F664FB" w:rsidRDefault="00F664FB" w:rsidP="00F664FB">
      <w:pPr>
        <w:numPr>
          <w:ilvl w:val="0"/>
          <w:numId w:val="2"/>
        </w:numPr>
        <w:spacing w:after="0" w:line="240" w:lineRule="auto"/>
        <w:rPr>
          <w:rFonts w:ascii="Aptos Display" w:hAnsi="Aptos Display"/>
          <w:bCs/>
          <w:sz w:val="24"/>
          <w:szCs w:val="24"/>
        </w:rPr>
      </w:pPr>
      <w:r w:rsidRPr="00613A3D">
        <w:rPr>
          <w:rFonts w:ascii="Aptos Display" w:eastAsia="inter" w:hAnsi="Aptos Display" w:cs="inter"/>
          <w:color w:val="000000"/>
          <w:sz w:val="24"/>
          <w:szCs w:val="24"/>
        </w:rPr>
        <w:t>Demand for policy specialists is higher in Saudi Arabia, UAE, and Qatar—nations with newly strengthened cyber laws, sector-specific regulations, and ambitious national transformation agendas.</w:t>
      </w:r>
    </w:p>
    <w:p w14:paraId="3728166B" w14:textId="77777777" w:rsidR="00F664FB" w:rsidRDefault="00F664FB">
      <w:pPr>
        <w:rPr>
          <w:rFonts w:ascii="Aptos Display" w:eastAsia="inter" w:hAnsi="Aptos Display" w:cs="inter"/>
          <w:b/>
          <w:color w:val="000000"/>
          <w:sz w:val="24"/>
          <w:szCs w:val="24"/>
        </w:rPr>
      </w:pPr>
      <w:bookmarkStart w:id="14" w:name="comparative_outlook"/>
      <w:r>
        <w:rPr>
          <w:rFonts w:ascii="Aptos Display" w:eastAsia="inter" w:hAnsi="Aptos Display" w:cs="inter"/>
          <w:b/>
          <w:color w:val="000000"/>
          <w:sz w:val="24"/>
          <w:szCs w:val="24"/>
        </w:rPr>
        <w:br w:type="page"/>
      </w:r>
    </w:p>
    <w:p w14:paraId="7B2CFEA9" w14:textId="370E3586" w:rsidR="000F26DF" w:rsidRDefault="00000000" w:rsidP="00613A3D">
      <w:pPr>
        <w:spacing w:after="0" w:line="240" w:lineRule="auto"/>
        <w:ind w:left="-30"/>
        <w:rPr>
          <w:rFonts w:ascii="Aptos Display" w:eastAsia="inter" w:hAnsi="Aptos Display" w:cs="inter"/>
          <w:b/>
          <w:color w:val="000000"/>
          <w:sz w:val="24"/>
          <w:szCs w:val="24"/>
        </w:rPr>
      </w:pPr>
      <w:r w:rsidRPr="00613A3D">
        <w:rPr>
          <w:rFonts w:ascii="Aptos Display" w:eastAsia="inter" w:hAnsi="Aptos Display" w:cs="inter"/>
          <w:b/>
          <w:color w:val="000000"/>
          <w:sz w:val="24"/>
          <w:szCs w:val="24"/>
        </w:rPr>
        <w:lastRenderedPageBreak/>
        <w:t>Comparative Outlook</w:t>
      </w:r>
      <w:bookmarkEnd w:id="14"/>
    </w:p>
    <w:p w14:paraId="4C5672F2" w14:textId="77777777" w:rsidR="00F664FB" w:rsidRPr="00613A3D" w:rsidRDefault="00F664FB" w:rsidP="00613A3D">
      <w:pPr>
        <w:spacing w:after="0" w:line="240" w:lineRule="auto"/>
        <w:ind w:left="-30"/>
        <w:rPr>
          <w:rFonts w:ascii="Aptos Display" w:hAnsi="Aptos Display"/>
          <w:sz w:val="24"/>
          <w:szCs w:val="24"/>
        </w:rPr>
      </w:pP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744"/>
        <w:gridCol w:w="1664"/>
        <w:gridCol w:w="1928"/>
        <w:gridCol w:w="2692"/>
      </w:tblGrid>
      <w:tr w:rsidR="000F26DF" w:rsidRPr="00613A3D" w14:paraId="138D274A" w14:textId="77777777" w:rsidTr="00F664FB">
        <w:trPr>
          <w:cantSplit/>
          <w:tblCellSpacing w:w="0" w:type="dxa"/>
          <w:jc w:val="center"/>
        </w:trPr>
        <w:tc>
          <w:tcPr>
            <w:tcW w:w="0" w:type="auto"/>
          </w:tcPr>
          <w:p w14:paraId="083287C5"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Role Type</w:t>
            </w:r>
          </w:p>
        </w:tc>
        <w:tc>
          <w:tcPr>
            <w:tcW w:w="0" w:type="auto"/>
          </w:tcPr>
          <w:p w14:paraId="158F331C"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Market Size</w:t>
            </w:r>
          </w:p>
        </w:tc>
        <w:tc>
          <w:tcPr>
            <w:tcW w:w="0" w:type="auto"/>
          </w:tcPr>
          <w:p w14:paraId="31A888E6"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Growth Rate</w:t>
            </w:r>
          </w:p>
        </w:tc>
        <w:tc>
          <w:tcPr>
            <w:tcW w:w="0" w:type="auto"/>
          </w:tcPr>
          <w:p w14:paraId="29989D39"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Employers</w:t>
            </w:r>
          </w:p>
        </w:tc>
        <w:tc>
          <w:tcPr>
            <w:tcW w:w="0" w:type="auto"/>
          </w:tcPr>
          <w:p w14:paraId="5ED459FD"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Entry Level</w:t>
            </w:r>
          </w:p>
        </w:tc>
      </w:tr>
      <w:tr w:rsidR="000F26DF" w:rsidRPr="00613A3D" w14:paraId="5A3010F5" w14:textId="77777777" w:rsidTr="00F664FB">
        <w:trPr>
          <w:cantSplit/>
          <w:tblCellSpacing w:w="0" w:type="dxa"/>
          <w:jc w:val="center"/>
        </w:trPr>
        <w:tc>
          <w:tcPr>
            <w:tcW w:w="0" w:type="auto"/>
          </w:tcPr>
          <w:p w14:paraId="2928F656"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Technical</w:t>
            </w:r>
          </w:p>
        </w:tc>
        <w:tc>
          <w:tcPr>
            <w:tcW w:w="0" w:type="auto"/>
          </w:tcPr>
          <w:p w14:paraId="237EFA6A"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Dominant</w:t>
            </w:r>
          </w:p>
        </w:tc>
        <w:tc>
          <w:tcPr>
            <w:tcW w:w="0" w:type="auto"/>
          </w:tcPr>
          <w:p w14:paraId="59597EB0"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Explosive</w:t>
            </w:r>
          </w:p>
        </w:tc>
        <w:tc>
          <w:tcPr>
            <w:tcW w:w="0" w:type="auto"/>
          </w:tcPr>
          <w:p w14:paraId="595DF908"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Govt, private</w:t>
            </w:r>
          </w:p>
        </w:tc>
        <w:tc>
          <w:tcPr>
            <w:tcW w:w="0" w:type="auto"/>
          </w:tcPr>
          <w:p w14:paraId="0527929C"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Bootcamps, degrees</w:t>
            </w:r>
          </w:p>
        </w:tc>
      </w:tr>
      <w:tr w:rsidR="000F26DF" w:rsidRPr="00613A3D" w14:paraId="05B73D08" w14:textId="77777777" w:rsidTr="00F664FB">
        <w:trPr>
          <w:cantSplit/>
          <w:tblCellSpacing w:w="0" w:type="dxa"/>
          <w:jc w:val="center"/>
        </w:trPr>
        <w:tc>
          <w:tcPr>
            <w:tcW w:w="0" w:type="auto"/>
          </w:tcPr>
          <w:p w14:paraId="0107803E"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Cyber Policy</w:t>
            </w:r>
          </w:p>
        </w:tc>
        <w:tc>
          <w:tcPr>
            <w:tcW w:w="0" w:type="auto"/>
          </w:tcPr>
          <w:p w14:paraId="17CF79F5"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Smaller/Niche</w:t>
            </w:r>
          </w:p>
        </w:tc>
        <w:tc>
          <w:tcPr>
            <w:tcW w:w="0" w:type="auto"/>
          </w:tcPr>
          <w:p w14:paraId="0D865EA9"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Moderate-High</w:t>
            </w:r>
          </w:p>
        </w:tc>
        <w:tc>
          <w:tcPr>
            <w:tcW w:w="0" w:type="auto"/>
          </w:tcPr>
          <w:p w14:paraId="76EA3047"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Govt, finance, infra</w:t>
            </w:r>
          </w:p>
        </w:tc>
        <w:tc>
          <w:tcPr>
            <w:tcW w:w="0" w:type="auto"/>
          </w:tcPr>
          <w:p w14:paraId="114B02CD" w14:textId="77777777" w:rsidR="000F26DF" w:rsidRPr="00613A3D" w:rsidRDefault="00000000" w:rsidP="00613A3D">
            <w:pPr>
              <w:rPr>
                <w:rFonts w:ascii="Aptos Display" w:hAnsi="Aptos Display"/>
                <w:sz w:val="24"/>
                <w:szCs w:val="24"/>
              </w:rPr>
            </w:pPr>
            <w:r w:rsidRPr="00613A3D">
              <w:rPr>
                <w:rFonts w:ascii="Aptos Display" w:eastAsia="inter" w:hAnsi="Aptos Display" w:cs="inter"/>
                <w:color w:val="000000"/>
                <w:sz w:val="24"/>
                <w:szCs w:val="24"/>
              </w:rPr>
              <w:t>Policy/legal/compliance</w:t>
            </w:r>
          </w:p>
        </w:tc>
      </w:tr>
    </w:tbl>
    <w:p w14:paraId="61AD051D" w14:textId="77777777" w:rsidR="000F26DF" w:rsidRPr="00613A3D" w:rsidRDefault="000F26DF" w:rsidP="00613A3D">
      <w:pPr>
        <w:spacing w:after="0" w:line="240" w:lineRule="auto"/>
        <w:rPr>
          <w:rFonts w:ascii="Aptos Display" w:hAnsi="Aptos Display"/>
          <w:sz w:val="24"/>
          <w:szCs w:val="24"/>
        </w:rPr>
      </w:pPr>
    </w:p>
    <w:p w14:paraId="16AF04E8" w14:textId="77777777" w:rsidR="00F664FB" w:rsidRDefault="00000000" w:rsidP="00613A3D">
      <w:pPr>
        <w:spacing w:after="0" w:line="240" w:lineRule="auto"/>
        <w:rPr>
          <w:rFonts w:ascii="Aptos Display" w:eastAsia="inter" w:hAnsi="Aptos Display" w:cs="inter"/>
          <w:b/>
          <w:color w:val="000000"/>
          <w:sz w:val="24"/>
          <w:szCs w:val="24"/>
        </w:rPr>
      </w:pPr>
      <w:r w:rsidRPr="00613A3D">
        <w:rPr>
          <w:rFonts w:ascii="Aptos Display" w:eastAsia="inter" w:hAnsi="Aptos Display" w:cs="inter"/>
          <w:b/>
          <w:color w:val="000000"/>
          <w:sz w:val="24"/>
          <w:szCs w:val="24"/>
        </w:rPr>
        <w:t>Summary:</w:t>
      </w:r>
    </w:p>
    <w:p w14:paraId="319F0756" w14:textId="77777777" w:rsidR="00F664FB" w:rsidRDefault="00F664FB" w:rsidP="00613A3D">
      <w:pPr>
        <w:spacing w:after="0" w:line="240" w:lineRule="auto"/>
        <w:rPr>
          <w:rFonts w:ascii="Aptos Display" w:eastAsia="inter" w:hAnsi="Aptos Display" w:cs="inter"/>
          <w:color w:val="000000"/>
          <w:sz w:val="24"/>
          <w:szCs w:val="24"/>
        </w:rPr>
      </w:pPr>
    </w:p>
    <w:p w14:paraId="45AA25FE" w14:textId="0AEAEABE" w:rsidR="000F26DF" w:rsidRDefault="00000000" w:rsidP="00613A3D">
      <w:pPr>
        <w:spacing w:after="0" w:line="240" w:lineRule="auto"/>
        <w:rPr>
          <w:rFonts w:ascii="Aptos Display" w:hAnsi="Aptos Display"/>
          <w:sz w:val="24"/>
          <w:szCs w:val="24"/>
        </w:rPr>
      </w:pPr>
      <w:r w:rsidRPr="00613A3D">
        <w:rPr>
          <w:rFonts w:ascii="Aptos Display" w:eastAsia="inter" w:hAnsi="Aptos Display" w:cs="inter"/>
          <w:color w:val="000000"/>
          <w:sz w:val="24"/>
          <w:szCs w:val="24"/>
        </w:rPr>
        <w:t xml:space="preserve">Technical cyber roles dominate hiring in the Gulf, driven by the urgent need to secure </w:t>
      </w:r>
      <w:proofErr w:type="spellStart"/>
      <w:r w:rsidRPr="00613A3D">
        <w:rPr>
          <w:rFonts w:ascii="Aptos Display" w:eastAsia="inter" w:hAnsi="Aptos Display" w:cs="inter"/>
          <w:color w:val="000000"/>
          <w:sz w:val="24"/>
          <w:szCs w:val="24"/>
        </w:rPr>
        <w:t>modernising</w:t>
      </w:r>
      <w:proofErr w:type="spellEnd"/>
      <w:r w:rsidRPr="00613A3D">
        <w:rPr>
          <w:rFonts w:ascii="Aptos Display" w:eastAsia="inter" w:hAnsi="Aptos Display" w:cs="inter"/>
          <w:color w:val="000000"/>
          <w:sz w:val="24"/>
          <w:szCs w:val="24"/>
        </w:rPr>
        <w:t xml:space="preserve"> economies against attacks and comply with new regulations. However, as government and industry cyber regulations mature (especially in Saudi Arabia, UAE, Qatar), the demand for policy, governance, and risk specialists is rising rapidly, particularly in central ministries, banks, and critical sectors. Policy market growth is strong, but the overall volume remains far behind technical job </w:t>
      </w:r>
      <w:hyperlink r:id="rId5">
        <w:proofErr w:type="spellStart"/>
        <w:r w:rsidR="000F26DF" w:rsidRPr="00613A3D">
          <w:rPr>
            <w:rFonts w:ascii="Aptos Display" w:eastAsia="inter" w:hAnsi="Aptos Display" w:cs="inter"/>
            <w:sz w:val="24"/>
            <w:szCs w:val="24"/>
            <w:u w:val="single"/>
          </w:rPr>
          <w:t>demand.In</w:t>
        </w:r>
        <w:proofErr w:type="spellEnd"/>
      </w:hyperlink>
      <w:r w:rsidRPr="00613A3D">
        <w:rPr>
          <w:rFonts w:ascii="Aptos Display" w:eastAsia="inter" w:hAnsi="Aptos Display" w:cs="inter"/>
          <w:color w:val="000000"/>
          <w:sz w:val="24"/>
          <w:szCs w:val="24"/>
        </w:rPr>
        <w:t xml:space="preserve"> Persian Gulf countries (GCC: Saudi Arabia, UAE, Qatar, Bahrain, Kuwait, Oman), the job market for cyber policy jobs is expanding steadily, but technical cybersecurity roles remain far more numerous and are growing at an even faster pace.</w:t>
      </w:r>
      <w:bookmarkStart w:id="15" w:name="fnref5_1"/>
      <w:bookmarkStart w:id="16" w:name="fnref3_3"/>
      <w:bookmarkStart w:id="17" w:name="fnref1_5"/>
      <w:bookmarkEnd w:id="15"/>
      <w:bookmarkEnd w:id="16"/>
      <w:bookmarkEnd w:id="17"/>
      <w:r w:rsidR="00F664FB" w:rsidRPr="00613A3D">
        <w:rPr>
          <w:rFonts w:ascii="Aptos Display" w:hAnsi="Aptos Display"/>
          <w:sz w:val="24"/>
          <w:szCs w:val="24"/>
        </w:rPr>
        <w:t xml:space="preserve"> </w:t>
      </w:r>
    </w:p>
    <w:p w14:paraId="33A89D19" w14:textId="51E7C8AA" w:rsidR="000F26DF" w:rsidRPr="00613A3D" w:rsidRDefault="00F664FB" w:rsidP="00F664FB">
      <w:pPr>
        <w:spacing w:after="0" w:line="240" w:lineRule="auto"/>
        <w:rPr>
          <w:rFonts w:ascii="Aptos Display" w:hAnsi="Aptos Display"/>
          <w:sz w:val="24"/>
          <w:szCs w:val="24"/>
        </w:rPr>
      </w:pPr>
      <w:bookmarkStart w:id="18" w:name="fnref5_2"/>
      <w:bookmarkStart w:id="19" w:name="fnref3_5"/>
      <w:bookmarkStart w:id="20" w:name="fnref1_9"/>
      <w:bookmarkEnd w:id="18"/>
      <w:bookmarkEnd w:id="19"/>
      <w:bookmarkEnd w:id="20"/>
      <w:r w:rsidRPr="00613A3D">
        <w:rPr>
          <w:rFonts w:ascii="Aptos Display" w:hAnsi="Aptos Display"/>
          <w:sz w:val="24"/>
          <w:szCs w:val="24"/>
        </w:rPr>
        <w:t xml:space="preserve"> </w:t>
      </w:r>
    </w:p>
    <w:p w14:paraId="7CA107AA" w14:textId="75560CA2" w:rsidR="00F664FB" w:rsidRDefault="0063738D" w:rsidP="00613A3D">
      <w:pPr>
        <w:spacing w:after="0" w:line="240" w:lineRule="auto"/>
        <w:ind w:left="-30"/>
        <w:rPr>
          <w:rFonts w:ascii="Aptos Display" w:eastAsia="inter" w:hAnsi="Aptos Display" w:cs="inter"/>
          <w:b/>
          <w:color w:val="000000"/>
          <w:sz w:val="24"/>
          <w:szCs w:val="24"/>
        </w:rPr>
      </w:pPr>
      <w:bookmarkStart w:id="21" w:name="market_comparison_table"/>
      <w:bookmarkEnd w:id="21"/>
      <w:r>
        <w:rPr>
          <w:rFonts w:ascii="Aptos Display" w:eastAsia="inter" w:hAnsi="Aptos Display" w:cs="inter"/>
          <w:b/>
          <w:color w:val="000000"/>
          <w:sz w:val="24"/>
          <w:szCs w:val="24"/>
        </w:rPr>
        <w:t>Top Cyber Policy Employers in the Gulf Region</w:t>
      </w:r>
    </w:p>
    <w:p w14:paraId="1A0553A1" w14:textId="77777777" w:rsidR="0063738D" w:rsidRDefault="0063738D" w:rsidP="00613A3D">
      <w:pPr>
        <w:spacing w:after="0" w:line="240" w:lineRule="auto"/>
        <w:ind w:left="-30"/>
        <w:rPr>
          <w:rFonts w:ascii="Aptos Display" w:eastAsia="inter" w:hAnsi="Aptos Display" w:cs="inter"/>
          <w:b/>
          <w:color w:val="000000"/>
          <w:sz w:val="24"/>
          <w:szCs w:val="24"/>
        </w:rPr>
      </w:pPr>
    </w:p>
    <w:p w14:paraId="77D1AA2A" w14:textId="74C9B2BC"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National Cybersecurity Authority (NCA) – Saudi Arabia</w:t>
      </w:r>
      <w:r w:rsidRPr="00A973F6">
        <w:rPr>
          <w:rFonts w:asciiTheme="majorHAnsi" w:eastAsia="inter" w:hAnsiTheme="majorHAnsi" w:cs="inter"/>
          <w:bCs/>
          <w:color w:val="000000"/>
          <w:sz w:val="24"/>
          <w:szCs w:val="24"/>
        </w:rPr>
        <w:t>, the country’s</w:t>
      </w:r>
      <w:r w:rsidRPr="00A973F6">
        <w:rPr>
          <w:rFonts w:asciiTheme="majorHAnsi" w:eastAsia="inter" w:hAnsiTheme="majorHAnsi" w:cs="inter"/>
          <w:bCs/>
          <w:color w:val="000000"/>
          <w:sz w:val="24"/>
          <w:szCs w:val="24"/>
        </w:rPr>
        <w:t xml:space="preserve"> primary regulatory lead for all national cyber policy and compliance, overseeing critical sectors and private enterprise.</w:t>
      </w:r>
    </w:p>
    <w:p w14:paraId="4179FFAC" w14:textId="6BD49ED9"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National Cyber Security Authority (NESA) – UAE</w:t>
      </w:r>
      <w:r w:rsidRPr="00A973F6">
        <w:rPr>
          <w:rFonts w:asciiTheme="majorHAnsi" w:eastAsia="inter" w:hAnsiTheme="majorHAnsi" w:cs="inter"/>
          <w:bCs/>
          <w:color w:val="000000"/>
          <w:sz w:val="24"/>
          <w:szCs w:val="24"/>
        </w:rPr>
        <w:t xml:space="preserve">, the country’s </w:t>
      </w:r>
      <w:r w:rsidRPr="00A973F6">
        <w:rPr>
          <w:rFonts w:asciiTheme="majorHAnsi" w:eastAsia="inter" w:hAnsiTheme="majorHAnsi" w:cs="inter"/>
          <w:bCs/>
          <w:color w:val="000000"/>
          <w:sz w:val="24"/>
          <w:szCs w:val="24"/>
        </w:rPr>
        <w:t>federal cyber policy agency, setting policy and regulatory requirements for telecom, finance, and critical sectors.</w:t>
      </w:r>
    </w:p>
    <w:p w14:paraId="0052516A" w14:textId="5467D14E"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National Cyber Security Agency (NCSA) – Qatar</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Drives all cyber policy, compliance, and national standards for Qatar’s public and private sectors.</w:t>
      </w:r>
      <w:r w:rsidRPr="00A973F6">
        <w:rPr>
          <w:rFonts w:asciiTheme="majorHAnsi" w:hAnsiTheme="majorHAnsi"/>
          <w:bCs/>
          <w:sz w:val="24"/>
          <w:szCs w:val="24"/>
        </w:rPr>
        <w:t xml:space="preserve"> </w:t>
      </w:r>
    </w:p>
    <w:p w14:paraId="710A0082" w14:textId="2C5AABA8"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Central Bank of the UAE</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Regulates cyber risk, data protection, and compliance in finance and is a major policy employer within the financial sector.</w:t>
      </w:r>
    </w:p>
    <w:p w14:paraId="27C2737D" w14:textId="19019DF8"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Saudi Central Bank (SAMA)</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Leads financial cyber compliance, GRC oversight, and sectoral policy across Saudi Arabia’s vast financial industry.</w:t>
      </w:r>
    </w:p>
    <w:p w14:paraId="69D558CD" w14:textId="4B3B791A"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Dubai Electronic Security Center (DESC)</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Responsible for city-level cyber policy, major government initiatives, and smart city project compliance in Dubai.</w:t>
      </w:r>
    </w:p>
    <w:p w14:paraId="38BC9ADF" w14:textId="5EFB621C"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Abu Dhabi Digital Authority</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Sets policy direction for Abu Dhabi’s public sector cybersecurity and regulatory compliance.</w:t>
      </w:r>
    </w:p>
    <w:p w14:paraId="368E3427" w14:textId="1319B5F3"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 xml:space="preserve">Saudi Aramco &amp; Other Critical Energy Majors (e.g., ADNOC, </w:t>
      </w:r>
      <w:proofErr w:type="spellStart"/>
      <w:r w:rsidRPr="00A973F6">
        <w:rPr>
          <w:rFonts w:asciiTheme="majorHAnsi" w:eastAsia="inter" w:hAnsiTheme="majorHAnsi" w:cs="inter"/>
          <w:bCs/>
          <w:color w:val="000000"/>
          <w:sz w:val="24"/>
          <w:szCs w:val="24"/>
        </w:rPr>
        <w:t>QatarEnergy</w:t>
      </w:r>
      <w:proofErr w:type="spellEnd"/>
      <w:r w:rsidRPr="00A973F6">
        <w:rPr>
          <w:rFonts w:asciiTheme="majorHAnsi" w:eastAsia="inter" w:hAnsiTheme="majorHAnsi" w:cs="inter"/>
          <w:bCs/>
          <w:color w:val="000000"/>
          <w:sz w:val="24"/>
          <w:szCs w:val="24"/>
        </w:rPr>
        <w:t>)</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Major energy firms with significant internal cyber policy, GRC, and compliance teams due to regulatory and operational demands.</w:t>
      </w:r>
    </w:p>
    <w:p w14:paraId="08739F87" w14:textId="297FF9D7"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t>First Abu Dhabi Bank &amp; National Commercial Bank (or other top GCC banks)</w:t>
      </w:r>
      <w:r w:rsidRPr="00A973F6">
        <w:rPr>
          <w:rFonts w:asciiTheme="majorHAnsi" w:eastAsia="inter" w:hAnsiTheme="majorHAnsi" w:cs="inter"/>
          <w:bCs/>
          <w:color w:val="000000"/>
          <w:sz w:val="24"/>
          <w:szCs w:val="24"/>
        </w:rPr>
        <w:t xml:space="preserve">, </w:t>
      </w:r>
      <w:r w:rsidRPr="00A973F6">
        <w:rPr>
          <w:rFonts w:asciiTheme="majorHAnsi" w:eastAsia="inter" w:hAnsiTheme="majorHAnsi" w:cs="inter"/>
          <w:bCs/>
          <w:color w:val="000000"/>
          <w:sz w:val="24"/>
          <w:szCs w:val="24"/>
        </w:rPr>
        <w:t>Large financial institutions running extensive internal cyber policy, GRC, and legal compliance operations under strict local and international regulations.</w:t>
      </w:r>
    </w:p>
    <w:p w14:paraId="56BBABF9" w14:textId="77777777" w:rsidR="0063738D" w:rsidRPr="00A973F6" w:rsidRDefault="0063738D" w:rsidP="0063738D">
      <w:pPr>
        <w:numPr>
          <w:ilvl w:val="0"/>
          <w:numId w:val="7"/>
        </w:numPr>
        <w:spacing w:after="0" w:line="240" w:lineRule="auto"/>
        <w:ind w:left="538" w:hanging="357"/>
        <w:rPr>
          <w:rFonts w:asciiTheme="majorHAnsi" w:hAnsiTheme="majorHAnsi"/>
          <w:bCs/>
          <w:sz w:val="24"/>
          <w:szCs w:val="24"/>
        </w:rPr>
      </w:pPr>
      <w:r w:rsidRPr="00A973F6">
        <w:rPr>
          <w:rFonts w:asciiTheme="majorHAnsi" w:eastAsia="inter" w:hAnsiTheme="majorHAnsi" w:cs="inter"/>
          <w:bCs/>
          <w:color w:val="000000"/>
          <w:sz w:val="24"/>
          <w:szCs w:val="24"/>
        </w:rPr>
        <w:lastRenderedPageBreak/>
        <w:t>Deloitte, PwC, EY, KPMG (Big Four consultancies, Gulf operations)</w:t>
      </w:r>
      <w:r w:rsidRPr="00A973F6">
        <w:rPr>
          <w:rFonts w:asciiTheme="majorHAnsi" w:eastAsia="inter" w:hAnsiTheme="majorHAnsi" w:cs="inter"/>
          <w:bCs/>
          <w:color w:val="000000"/>
          <w:sz w:val="24"/>
          <w:szCs w:val="24"/>
        </w:rPr>
        <w:br/>
        <w:t>The leading consultancies providing cyber policy frameworks, GRC, and advisory services to government agencies, banks, and critical infrastructure providers.</w:t>
      </w:r>
    </w:p>
    <w:p w14:paraId="38BE4E61" w14:textId="77777777" w:rsidR="0063738D" w:rsidRPr="00A973F6" w:rsidRDefault="0063738D" w:rsidP="00613A3D">
      <w:pPr>
        <w:spacing w:after="0" w:line="240" w:lineRule="auto"/>
        <w:ind w:left="-30"/>
        <w:rPr>
          <w:rFonts w:asciiTheme="majorHAnsi" w:eastAsia="inter" w:hAnsiTheme="majorHAnsi" w:cs="inter"/>
          <w:b/>
          <w:color w:val="000000"/>
          <w:sz w:val="24"/>
          <w:szCs w:val="24"/>
        </w:rPr>
      </w:pPr>
    </w:p>
    <w:sectPr w:rsidR="0063738D" w:rsidRPr="00A973F6">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3B8"/>
    <w:multiLevelType w:val="hybridMultilevel"/>
    <w:tmpl w:val="9D763EAC"/>
    <w:lvl w:ilvl="0" w:tplc="C10EBCCE">
      <w:start w:val="1"/>
      <w:numFmt w:val="decimal"/>
      <w:lvlText w:val="%1."/>
      <w:lvlJc w:val="left"/>
      <w:pPr>
        <w:tabs>
          <w:tab w:val="num" w:pos="900"/>
        </w:tabs>
        <w:ind w:left="540" w:hanging="360"/>
      </w:pPr>
    </w:lvl>
    <w:lvl w:ilvl="1" w:tplc="C01EC5A0">
      <w:numFmt w:val="decimal"/>
      <w:lvlText w:val=""/>
      <w:lvlJc w:val="left"/>
    </w:lvl>
    <w:lvl w:ilvl="2" w:tplc="20FA9E68">
      <w:numFmt w:val="decimal"/>
      <w:lvlText w:val=""/>
      <w:lvlJc w:val="left"/>
    </w:lvl>
    <w:lvl w:ilvl="3" w:tplc="7D26BD56">
      <w:numFmt w:val="decimal"/>
      <w:lvlText w:val=""/>
      <w:lvlJc w:val="left"/>
    </w:lvl>
    <w:lvl w:ilvl="4" w:tplc="439653A6">
      <w:numFmt w:val="decimal"/>
      <w:lvlText w:val=""/>
      <w:lvlJc w:val="left"/>
    </w:lvl>
    <w:lvl w:ilvl="5" w:tplc="9E2C808A">
      <w:numFmt w:val="decimal"/>
      <w:lvlText w:val=""/>
      <w:lvlJc w:val="left"/>
    </w:lvl>
    <w:lvl w:ilvl="6" w:tplc="AE42AE9E">
      <w:numFmt w:val="decimal"/>
      <w:lvlText w:val=""/>
      <w:lvlJc w:val="left"/>
    </w:lvl>
    <w:lvl w:ilvl="7" w:tplc="9A6A5C94">
      <w:numFmt w:val="decimal"/>
      <w:lvlText w:val=""/>
      <w:lvlJc w:val="left"/>
    </w:lvl>
    <w:lvl w:ilvl="8" w:tplc="12A0D48E">
      <w:numFmt w:val="decimal"/>
      <w:lvlText w:val=""/>
      <w:lvlJc w:val="left"/>
    </w:lvl>
  </w:abstractNum>
  <w:abstractNum w:abstractNumId="1" w15:restartNumberingAfterBreak="0">
    <w:nsid w:val="3EDE0280"/>
    <w:multiLevelType w:val="hybridMultilevel"/>
    <w:tmpl w:val="2B305FBA"/>
    <w:lvl w:ilvl="0" w:tplc="BDD0467A">
      <w:start w:val="1"/>
      <w:numFmt w:val="bullet"/>
      <w:lvlText w:val=""/>
      <w:lvlJc w:val="left"/>
      <w:pPr>
        <w:tabs>
          <w:tab w:val="num" w:pos="900"/>
        </w:tabs>
        <w:ind w:left="540" w:hanging="360"/>
      </w:pPr>
      <w:rPr>
        <w:rFonts w:ascii="Symbol" w:hAnsi="Symbol" w:hint="default"/>
      </w:rPr>
    </w:lvl>
    <w:lvl w:ilvl="1" w:tplc="1398F860">
      <w:numFmt w:val="decimal"/>
      <w:lvlText w:val=""/>
      <w:lvlJc w:val="left"/>
    </w:lvl>
    <w:lvl w:ilvl="2" w:tplc="1C14B3B8">
      <w:numFmt w:val="decimal"/>
      <w:lvlText w:val=""/>
      <w:lvlJc w:val="left"/>
    </w:lvl>
    <w:lvl w:ilvl="3" w:tplc="2D3CCA14">
      <w:numFmt w:val="decimal"/>
      <w:lvlText w:val=""/>
      <w:lvlJc w:val="left"/>
    </w:lvl>
    <w:lvl w:ilvl="4" w:tplc="1DBAF0D4">
      <w:numFmt w:val="decimal"/>
      <w:lvlText w:val=""/>
      <w:lvlJc w:val="left"/>
    </w:lvl>
    <w:lvl w:ilvl="5" w:tplc="9C0E4852">
      <w:numFmt w:val="decimal"/>
      <w:lvlText w:val=""/>
      <w:lvlJc w:val="left"/>
    </w:lvl>
    <w:lvl w:ilvl="6" w:tplc="F5C051F8">
      <w:numFmt w:val="decimal"/>
      <w:lvlText w:val=""/>
      <w:lvlJc w:val="left"/>
    </w:lvl>
    <w:lvl w:ilvl="7" w:tplc="1E088E5A">
      <w:numFmt w:val="decimal"/>
      <w:lvlText w:val=""/>
      <w:lvlJc w:val="left"/>
    </w:lvl>
    <w:lvl w:ilvl="8" w:tplc="7416FDD8">
      <w:numFmt w:val="decimal"/>
      <w:lvlText w:val=""/>
      <w:lvlJc w:val="left"/>
    </w:lvl>
  </w:abstractNum>
  <w:abstractNum w:abstractNumId="2" w15:restartNumberingAfterBreak="0">
    <w:nsid w:val="5D484B66"/>
    <w:multiLevelType w:val="hybridMultilevel"/>
    <w:tmpl w:val="93F48DB4"/>
    <w:lvl w:ilvl="0" w:tplc="D7B4A75C">
      <w:start w:val="1"/>
      <w:numFmt w:val="bullet"/>
      <w:lvlText w:val=""/>
      <w:lvlJc w:val="left"/>
      <w:pPr>
        <w:tabs>
          <w:tab w:val="num" w:pos="900"/>
        </w:tabs>
        <w:ind w:left="540" w:hanging="360"/>
      </w:pPr>
      <w:rPr>
        <w:rFonts w:ascii="Symbol" w:hAnsi="Symbol" w:hint="default"/>
      </w:rPr>
    </w:lvl>
    <w:lvl w:ilvl="1" w:tplc="FF527362">
      <w:numFmt w:val="decimal"/>
      <w:lvlText w:val=""/>
      <w:lvlJc w:val="left"/>
    </w:lvl>
    <w:lvl w:ilvl="2" w:tplc="DAA69700">
      <w:numFmt w:val="decimal"/>
      <w:lvlText w:val=""/>
      <w:lvlJc w:val="left"/>
    </w:lvl>
    <w:lvl w:ilvl="3" w:tplc="4BE4E534">
      <w:numFmt w:val="decimal"/>
      <w:lvlText w:val=""/>
      <w:lvlJc w:val="left"/>
    </w:lvl>
    <w:lvl w:ilvl="4" w:tplc="7A14E4A0">
      <w:numFmt w:val="decimal"/>
      <w:lvlText w:val=""/>
      <w:lvlJc w:val="left"/>
    </w:lvl>
    <w:lvl w:ilvl="5" w:tplc="77CA0794">
      <w:numFmt w:val="decimal"/>
      <w:lvlText w:val=""/>
      <w:lvlJc w:val="left"/>
    </w:lvl>
    <w:lvl w:ilvl="6" w:tplc="27B48112">
      <w:numFmt w:val="decimal"/>
      <w:lvlText w:val=""/>
      <w:lvlJc w:val="left"/>
    </w:lvl>
    <w:lvl w:ilvl="7" w:tplc="FF7CC248">
      <w:numFmt w:val="decimal"/>
      <w:lvlText w:val=""/>
      <w:lvlJc w:val="left"/>
    </w:lvl>
    <w:lvl w:ilvl="8" w:tplc="B99C3A94">
      <w:numFmt w:val="decimal"/>
      <w:lvlText w:val=""/>
      <w:lvlJc w:val="left"/>
    </w:lvl>
  </w:abstractNum>
  <w:abstractNum w:abstractNumId="3" w15:restartNumberingAfterBreak="0">
    <w:nsid w:val="5DD91068"/>
    <w:multiLevelType w:val="hybridMultilevel"/>
    <w:tmpl w:val="50A07726"/>
    <w:lvl w:ilvl="0" w:tplc="65781222">
      <w:start w:val="1"/>
      <w:numFmt w:val="bullet"/>
      <w:lvlText w:val=""/>
      <w:lvlJc w:val="left"/>
      <w:pPr>
        <w:tabs>
          <w:tab w:val="num" w:pos="900"/>
        </w:tabs>
        <w:ind w:left="540" w:hanging="360"/>
      </w:pPr>
      <w:rPr>
        <w:rFonts w:ascii="Symbol" w:hAnsi="Symbol" w:hint="default"/>
      </w:rPr>
    </w:lvl>
    <w:lvl w:ilvl="1" w:tplc="209C7002">
      <w:numFmt w:val="decimal"/>
      <w:lvlText w:val=""/>
      <w:lvlJc w:val="left"/>
    </w:lvl>
    <w:lvl w:ilvl="2" w:tplc="65469182">
      <w:numFmt w:val="decimal"/>
      <w:lvlText w:val=""/>
      <w:lvlJc w:val="left"/>
    </w:lvl>
    <w:lvl w:ilvl="3" w:tplc="BC3E3B7C">
      <w:numFmt w:val="decimal"/>
      <w:lvlText w:val=""/>
      <w:lvlJc w:val="left"/>
    </w:lvl>
    <w:lvl w:ilvl="4" w:tplc="8B06F508">
      <w:numFmt w:val="decimal"/>
      <w:lvlText w:val=""/>
      <w:lvlJc w:val="left"/>
    </w:lvl>
    <w:lvl w:ilvl="5" w:tplc="B4103698">
      <w:numFmt w:val="decimal"/>
      <w:lvlText w:val=""/>
      <w:lvlJc w:val="left"/>
    </w:lvl>
    <w:lvl w:ilvl="6" w:tplc="B23C45EE">
      <w:numFmt w:val="decimal"/>
      <w:lvlText w:val=""/>
      <w:lvlJc w:val="left"/>
    </w:lvl>
    <w:lvl w:ilvl="7" w:tplc="425E7B4A">
      <w:numFmt w:val="decimal"/>
      <w:lvlText w:val=""/>
      <w:lvlJc w:val="left"/>
    </w:lvl>
    <w:lvl w:ilvl="8" w:tplc="61A43066">
      <w:numFmt w:val="decimal"/>
      <w:lvlText w:val=""/>
      <w:lvlJc w:val="left"/>
    </w:lvl>
  </w:abstractNum>
  <w:abstractNum w:abstractNumId="4" w15:restartNumberingAfterBreak="0">
    <w:nsid w:val="5E4F524A"/>
    <w:multiLevelType w:val="hybridMultilevel"/>
    <w:tmpl w:val="3A9A89C0"/>
    <w:lvl w:ilvl="0" w:tplc="0E288818">
      <w:numFmt w:val="decimal"/>
      <w:lvlText w:val=""/>
      <w:lvlJc w:val="left"/>
    </w:lvl>
    <w:lvl w:ilvl="1" w:tplc="8DA0B652">
      <w:numFmt w:val="decimal"/>
      <w:lvlText w:val=""/>
      <w:lvlJc w:val="left"/>
    </w:lvl>
    <w:lvl w:ilvl="2" w:tplc="D516694C">
      <w:numFmt w:val="decimal"/>
      <w:lvlText w:val=""/>
      <w:lvlJc w:val="left"/>
    </w:lvl>
    <w:lvl w:ilvl="3" w:tplc="E9D08C94">
      <w:numFmt w:val="decimal"/>
      <w:lvlText w:val=""/>
      <w:lvlJc w:val="left"/>
    </w:lvl>
    <w:lvl w:ilvl="4" w:tplc="98CA194A">
      <w:numFmt w:val="decimal"/>
      <w:lvlText w:val=""/>
      <w:lvlJc w:val="left"/>
    </w:lvl>
    <w:lvl w:ilvl="5" w:tplc="8BB6631A">
      <w:numFmt w:val="decimal"/>
      <w:lvlText w:val=""/>
      <w:lvlJc w:val="left"/>
    </w:lvl>
    <w:lvl w:ilvl="6" w:tplc="5E1A9FC8">
      <w:numFmt w:val="decimal"/>
      <w:lvlText w:val=""/>
      <w:lvlJc w:val="left"/>
    </w:lvl>
    <w:lvl w:ilvl="7" w:tplc="5C9079E6">
      <w:numFmt w:val="decimal"/>
      <w:lvlText w:val=""/>
      <w:lvlJc w:val="left"/>
    </w:lvl>
    <w:lvl w:ilvl="8" w:tplc="DD2A3F48">
      <w:numFmt w:val="decimal"/>
      <w:lvlText w:val=""/>
      <w:lvlJc w:val="left"/>
    </w:lvl>
  </w:abstractNum>
  <w:abstractNum w:abstractNumId="5" w15:restartNumberingAfterBreak="0">
    <w:nsid w:val="632B2368"/>
    <w:multiLevelType w:val="hybridMultilevel"/>
    <w:tmpl w:val="FEC6BD04"/>
    <w:lvl w:ilvl="0" w:tplc="C6008530">
      <w:start w:val="1"/>
      <w:numFmt w:val="decimal"/>
      <w:lvlText w:val="%1."/>
      <w:lvlJc w:val="left"/>
      <w:pPr>
        <w:tabs>
          <w:tab w:val="num" w:pos="900"/>
        </w:tabs>
        <w:ind w:left="540" w:hanging="360"/>
      </w:pPr>
    </w:lvl>
    <w:lvl w:ilvl="1" w:tplc="E96C65F6">
      <w:numFmt w:val="decimal"/>
      <w:lvlText w:val=""/>
      <w:lvlJc w:val="left"/>
    </w:lvl>
    <w:lvl w:ilvl="2" w:tplc="FDECDA9A">
      <w:numFmt w:val="decimal"/>
      <w:lvlText w:val=""/>
      <w:lvlJc w:val="left"/>
    </w:lvl>
    <w:lvl w:ilvl="3" w:tplc="CB5C3614">
      <w:numFmt w:val="decimal"/>
      <w:lvlText w:val=""/>
      <w:lvlJc w:val="left"/>
    </w:lvl>
    <w:lvl w:ilvl="4" w:tplc="02E08C0C">
      <w:numFmt w:val="decimal"/>
      <w:lvlText w:val=""/>
      <w:lvlJc w:val="left"/>
    </w:lvl>
    <w:lvl w:ilvl="5" w:tplc="15E41C56">
      <w:numFmt w:val="decimal"/>
      <w:lvlText w:val=""/>
      <w:lvlJc w:val="left"/>
    </w:lvl>
    <w:lvl w:ilvl="6" w:tplc="923202EA">
      <w:numFmt w:val="decimal"/>
      <w:lvlText w:val=""/>
      <w:lvlJc w:val="left"/>
    </w:lvl>
    <w:lvl w:ilvl="7" w:tplc="23D40944">
      <w:numFmt w:val="decimal"/>
      <w:lvlText w:val=""/>
      <w:lvlJc w:val="left"/>
    </w:lvl>
    <w:lvl w:ilvl="8" w:tplc="B1E0814A">
      <w:numFmt w:val="decimal"/>
      <w:lvlText w:val=""/>
      <w:lvlJc w:val="left"/>
    </w:lvl>
  </w:abstractNum>
  <w:abstractNum w:abstractNumId="6" w15:restartNumberingAfterBreak="0">
    <w:nsid w:val="7FA9519D"/>
    <w:multiLevelType w:val="hybridMultilevel"/>
    <w:tmpl w:val="8D7A1244"/>
    <w:lvl w:ilvl="0" w:tplc="2F40039C">
      <w:start w:val="1"/>
      <w:numFmt w:val="bullet"/>
      <w:lvlText w:val=""/>
      <w:lvlJc w:val="left"/>
      <w:pPr>
        <w:tabs>
          <w:tab w:val="num" w:pos="900"/>
        </w:tabs>
        <w:ind w:left="540" w:hanging="360"/>
      </w:pPr>
      <w:rPr>
        <w:rFonts w:ascii="Symbol" w:hAnsi="Symbol" w:hint="default"/>
      </w:rPr>
    </w:lvl>
    <w:lvl w:ilvl="1" w:tplc="BC488560">
      <w:numFmt w:val="decimal"/>
      <w:lvlText w:val=""/>
      <w:lvlJc w:val="left"/>
    </w:lvl>
    <w:lvl w:ilvl="2" w:tplc="428EA470">
      <w:numFmt w:val="decimal"/>
      <w:lvlText w:val=""/>
      <w:lvlJc w:val="left"/>
    </w:lvl>
    <w:lvl w:ilvl="3" w:tplc="C45CA654">
      <w:numFmt w:val="decimal"/>
      <w:lvlText w:val=""/>
      <w:lvlJc w:val="left"/>
    </w:lvl>
    <w:lvl w:ilvl="4" w:tplc="5176A87E">
      <w:numFmt w:val="decimal"/>
      <w:lvlText w:val=""/>
      <w:lvlJc w:val="left"/>
    </w:lvl>
    <w:lvl w:ilvl="5" w:tplc="70C016E6">
      <w:numFmt w:val="decimal"/>
      <w:lvlText w:val=""/>
      <w:lvlJc w:val="left"/>
    </w:lvl>
    <w:lvl w:ilvl="6" w:tplc="C4AEDA4A">
      <w:numFmt w:val="decimal"/>
      <w:lvlText w:val=""/>
      <w:lvlJc w:val="left"/>
    </w:lvl>
    <w:lvl w:ilvl="7" w:tplc="F49A5932">
      <w:numFmt w:val="decimal"/>
      <w:lvlText w:val=""/>
      <w:lvlJc w:val="left"/>
    </w:lvl>
    <w:lvl w:ilvl="8" w:tplc="2D36E274">
      <w:numFmt w:val="decimal"/>
      <w:lvlText w:val=""/>
      <w:lvlJc w:val="left"/>
    </w:lvl>
  </w:abstractNum>
  <w:num w:numId="1" w16cid:durableId="650449479">
    <w:abstractNumId w:val="2"/>
  </w:num>
  <w:num w:numId="2" w16cid:durableId="1799638216">
    <w:abstractNumId w:val="1"/>
  </w:num>
  <w:num w:numId="3" w16cid:durableId="2137064980">
    <w:abstractNumId w:val="6"/>
  </w:num>
  <w:num w:numId="4" w16cid:durableId="1756632350">
    <w:abstractNumId w:val="3"/>
  </w:num>
  <w:num w:numId="5" w16cid:durableId="1095978312">
    <w:abstractNumId w:val="4"/>
  </w:num>
  <w:num w:numId="6" w16cid:durableId="223683255">
    <w:abstractNumId w:val="5"/>
  </w:num>
  <w:num w:numId="7" w16cid:durableId="92858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6DF"/>
    <w:rsid w:val="000F26DF"/>
    <w:rsid w:val="00613A3D"/>
    <w:rsid w:val="0063738D"/>
    <w:rsid w:val="007D6355"/>
    <w:rsid w:val="00A973F6"/>
    <w:rsid w:val="00F66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A71F"/>
  <w15:docId w15:val="{26D61471-9CD0-434D-B43D-EF6829E9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mand.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778</Words>
  <Characters>4860</Characters>
  <Application>Microsoft Office Word</Application>
  <DocSecurity>0</DocSecurity>
  <Lines>115</Lines>
  <Paragraphs>55</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Greg Austin</cp:lastModifiedBy>
  <cp:revision>5</cp:revision>
  <dcterms:created xsi:type="dcterms:W3CDTF">2025-10-08T22:12:00Z</dcterms:created>
  <dcterms:modified xsi:type="dcterms:W3CDTF">2025-10-08T22:25:00Z</dcterms:modified>
</cp:coreProperties>
</file>