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B008" w14:textId="1C301821" w:rsidR="008F42CC" w:rsidRPr="00584DD3" w:rsidRDefault="008F42CC" w:rsidP="00D8770E">
      <w:pPr>
        <w:spacing w:after="210" w:line="240" w:lineRule="auto"/>
        <w:jc w:val="center"/>
        <w:rPr>
          <w:rFonts w:ascii="Aptos Display" w:eastAsia="inter" w:hAnsi="Aptos Display" w:cs="inter"/>
          <w:b/>
          <w:bCs/>
          <w:color w:val="000000"/>
          <w:sz w:val="24"/>
          <w:szCs w:val="24"/>
        </w:rPr>
      </w:pPr>
      <w:r w:rsidRPr="00584DD3">
        <w:rPr>
          <w:rFonts w:ascii="Aptos Display" w:eastAsia="inter" w:hAnsi="Aptos Display" w:cs="inter"/>
          <w:b/>
          <w:bCs/>
          <w:color w:val="000000"/>
          <w:sz w:val="24"/>
          <w:szCs w:val="24"/>
        </w:rPr>
        <w:t>Market Analysis for Southeast Asia</w:t>
      </w:r>
    </w:p>
    <w:p w14:paraId="42B74CC2" w14:textId="77777777" w:rsidR="00D8770E" w:rsidRPr="00584DD3" w:rsidRDefault="00D8770E" w:rsidP="00D8770E">
      <w:pPr>
        <w:spacing w:after="0" w:line="240" w:lineRule="auto"/>
        <w:rPr>
          <w:rFonts w:ascii="Aptos Display" w:eastAsia="inter" w:hAnsi="Aptos Display" w:cs="inter"/>
          <w:color w:val="000000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 xml:space="preserve">Southeast Asia’s cyber job market is booming on the technical side, with huge shortages and high salaries for well-qualified engineers, analysts, and operations personnel. Policy roles are growing under government and industry pressure for better risk management and compliance, but remain less numerous, more </w:t>
      </w:r>
      <w:proofErr w:type="spellStart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>specialised</w:t>
      </w:r>
      <w:proofErr w:type="spellEnd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>, and focused on mid-career or legal/policy professionals. Policy job opportunities will increase further as the region continues to strengthen its regulatory frameworks and cross-border cyber cooperation.</w:t>
      </w:r>
      <w:bookmarkStart w:id="0" w:name="fnref5_1"/>
      <w:bookmarkEnd w:id="0"/>
    </w:p>
    <w:p w14:paraId="12820139" w14:textId="77777777" w:rsidR="00D8770E" w:rsidRPr="00584DD3" w:rsidRDefault="00D8770E" w:rsidP="00D8770E">
      <w:pPr>
        <w:spacing w:after="0" w:line="240" w:lineRule="auto"/>
        <w:rPr>
          <w:rFonts w:ascii="Aptos Display" w:eastAsia="inter" w:hAnsi="Aptos Display" w:cs="inter"/>
          <w:color w:val="000000"/>
          <w:sz w:val="24"/>
          <w:szCs w:val="24"/>
        </w:rPr>
      </w:pPr>
    </w:p>
    <w:p w14:paraId="54776AC8" w14:textId="77777777" w:rsidR="008E0FC5" w:rsidRPr="00584DD3" w:rsidRDefault="00000000" w:rsidP="00D8770E">
      <w:pPr>
        <w:spacing w:after="0" w:line="240" w:lineRule="auto"/>
        <w:ind w:left="-28"/>
        <w:rPr>
          <w:rFonts w:ascii="Aptos Display" w:eastAsia="inter" w:hAnsi="Aptos Display" w:cs="inter"/>
          <w:b/>
          <w:color w:val="000000"/>
          <w:sz w:val="24"/>
          <w:szCs w:val="24"/>
        </w:rPr>
      </w:pPr>
      <w:bookmarkStart w:id="1" w:name="technical_cybersecurity_job_market"/>
      <w:r w:rsidRPr="00584DD3">
        <w:rPr>
          <w:rFonts w:ascii="Aptos Display" w:eastAsia="inter" w:hAnsi="Aptos Display" w:cs="inter"/>
          <w:b/>
          <w:color w:val="000000"/>
          <w:sz w:val="24"/>
          <w:szCs w:val="24"/>
        </w:rPr>
        <w:t>Technical Cybersecurity Job Market</w:t>
      </w:r>
      <w:bookmarkEnd w:id="1"/>
    </w:p>
    <w:p w14:paraId="4F039955" w14:textId="77777777" w:rsidR="00D8770E" w:rsidRPr="00584DD3" w:rsidRDefault="00D8770E" w:rsidP="00D8770E">
      <w:pPr>
        <w:spacing w:after="0" w:line="240" w:lineRule="auto"/>
        <w:ind w:left="-28"/>
        <w:rPr>
          <w:rFonts w:ascii="Aptos Display" w:hAnsi="Aptos Display"/>
          <w:sz w:val="24"/>
          <w:szCs w:val="24"/>
        </w:rPr>
      </w:pPr>
    </w:p>
    <w:p w14:paraId="04485A0B" w14:textId="7AF38393" w:rsidR="008E0FC5" w:rsidRPr="00584DD3" w:rsidRDefault="00000000" w:rsidP="00D8770E">
      <w:pPr>
        <w:numPr>
          <w:ilvl w:val="0"/>
          <w:numId w:val="1"/>
        </w:numPr>
        <w:spacing w:before="105" w:after="105" w:line="240" w:lineRule="auto"/>
        <w:rPr>
          <w:rFonts w:ascii="Aptos Display" w:hAnsi="Aptos Display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>Technical cyber roles—such as security engineers, analysts, penetration testers, and incident responders—are experiencing explosive demand across Southeast Asia.</w:t>
      </w:r>
      <w:bookmarkStart w:id="2" w:name="fnref1"/>
      <w:bookmarkStart w:id="3" w:name="fnref2"/>
      <w:bookmarkStart w:id="4" w:name="fnref3"/>
      <w:bookmarkEnd w:id="2"/>
      <w:bookmarkEnd w:id="3"/>
      <w:bookmarkEnd w:id="4"/>
      <w:r w:rsidR="00D8770E" w:rsidRPr="00584DD3">
        <w:rPr>
          <w:rFonts w:ascii="Aptos Display" w:hAnsi="Aptos Display"/>
          <w:sz w:val="24"/>
          <w:szCs w:val="24"/>
        </w:rPr>
        <w:t xml:space="preserve"> </w:t>
      </w:r>
    </w:p>
    <w:p w14:paraId="7F1C437F" w14:textId="1594779F" w:rsidR="008E0FC5" w:rsidRPr="00584DD3" w:rsidRDefault="00000000" w:rsidP="00D8770E">
      <w:pPr>
        <w:numPr>
          <w:ilvl w:val="0"/>
          <w:numId w:val="1"/>
        </w:numPr>
        <w:spacing w:before="105" w:after="105" w:line="240" w:lineRule="auto"/>
        <w:rPr>
          <w:rFonts w:ascii="Aptos Display" w:hAnsi="Aptos Display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>Countries like Singapore, Malaysia, Indonesia, and the Philippines have seen technical cyber job openings increase by 100–160% annually, with the region facing a widely cited shortage of qualified technical professionals.</w:t>
      </w:r>
      <w:bookmarkStart w:id="5" w:name="fnref4"/>
      <w:bookmarkStart w:id="6" w:name="fnref5"/>
      <w:bookmarkStart w:id="7" w:name="fnref3_1"/>
      <w:bookmarkEnd w:id="5"/>
      <w:bookmarkEnd w:id="6"/>
      <w:bookmarkEnd w:id="7"/>
      <w:r w:rsidR="00D8770E" w:rsidRPr="00584DD3">
        <w:rPr>
          <w:rFonts w:ascii="Aptos Display" w:eastAsia="inter" w:hAnsi="Aptos Display" w:cs="inter"/>
          <w:color w:val="000000"/>
          <w:sz w:val="24"/>
          <w:szCs w:val="24"/>
        </w:rPr>
        <w:t xml:space="preserve"> </w:t>
      </w:r>
      <w:r w:rsidRPr="00584DD3">
        <w:rPr>
          <w:rFonts w:ascii="Aptos Display" w:eastAsia="inter" w:hAnsi="Aptos Display" w:cs="inter"/>
          <w:color w:val="000000"/>
          <w:sz w:val="24"/>
          <w:szCs w:val="24"/>
        </w:rPr>
        <w:t xml:space="preserve">This demand is driven by rapid </w:t>
      </w:r>
      <w:proofErr w:type="spellStart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>digitalisation</w:t>
      </w:r>
      <w:proofErr w:type="spellEnd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 xml:space="preserve">, frequent cyberattacks, the growth of fintech and e-commerce, and </w:t>
      </w:r>
      <w:proofErr w:type="spellStart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>organisations</w:t>
      </w:r>
      <w:proofErr w:type="spellEnd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 xml:space="preserve"> offshoring cyber operations to the region.</w:t>
      </w:r>
      <w:bookmarkStart w:id="8" w:name="fnref3_2"/>
      <w:bookmarkStart w:id="9" w:name="fnref6"/>
      <w:bookmarkStart w:id="10" w:name="fnref1_1"/>
      <w:bookmarkEnd w:id="8"/>
      <w:bookmarkEnd w:id="9"/>
      <w:bookmarkEnd w:id="10"/>
      <w:r w:rsidR="00D8770E" w:rsidRPr="00584DD3">
        <w:rPr>
          <w:rFonts w:ascii="Aptos Display" w:hAnsi="Aptos Display"/>
          <w:sz w:val="24"/>
          <w:szCs w:val="24"/>
        </w:rPr>
        <w:t xml:space="preserve"> </w:t>
      </w:r>
    </w:p>
    <w:p w14:paraId="7A564915" w14:textId="77777777" w:rsidR="008E0FC5" w:rsidRPr="00584DD3" w:rsidRDefault="00000000" w:rsidP="00D8770E">
      <w:pPr>
        <w:numPr>
          <w:ilvl w:val="0"/>
          <w:numId w:val="1"/>
        </w:numPr>
        <w:spacing w:before="105" w:after="105" w:line="240" w:lineRule="auto"/>
        <w:rPr>
          <w:rFonts w:ascii="Aptos Display" w:hAnsi="Aptos Display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>Technical cyber roles are much more accessible to early-career talent due to clear skills pathways, bootcamps, and practical certifications.</w:t>
      </w:r>
    </w:p>
    <w:p w14:paraId="5B3EA4D6" w14:textId="77777777" w:rsidR="008E0FC5" w:rsidRPr="00584DD3" w:rsidRDefault="00000000" w:rsidP="00D8770E">
      <w:pPr>
        <w:spacing w:after="0" w:line="240" w:lineRule="auto"/>
        <w:ind w:left="-28"/>
        <w:rPr>
          <w:rFonts w:ascii="Aptos Display" w:hAnsi="Aptos Display"/>
          <w:sz w:val="24"/>
          <w:szCs w:val="24"/>
        </w:rPr>
      </w:pPr>
      <w:bookmarkStart w:id="11" w:name="cyber_policy_job_market"/>
      <w:r w:rsidRPr="00584DD3">
        <w:rPr>
          <w:rFonts w:ascii="Aptos Display" w:eastAsia="inter" w:hAnsi="Aptos Display" w:cs="inter"/>
          <w:b/>
          <w:color w:val="000000"/>
          <w:sz w:val="24"/>
          <w:szCs w:val="24"/>
        </w:rPr>
        <w:t>Cyber Policy Job Market</w:t>
      </w:r>
      <w:bookmarkEnd w:id="11"/>
    </w:p>
    <w:p w14:paraId="0D46897A" w14:textId="20A52A7E" w:rsidR="008E0FC5" w:rsidRPr="00584DD3" w:rsidRDefault="00000000" w:rsidP="00D8770E">
      <w:pPr>
        <w:numPr>
          <w:ilvl w:val="0"/>
          <w:numId w:val="2"/>
        </w:numPr>
        <w:spacing w:before="105" w:after="105" w:line="240" w:lineRule="auto"/>
        <w:rPr>
          <w:rFonts w:ascii="Aptos Display" w:hAnsi="Aptos Display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>Professional roles in cyber policy, governance, risk, and compliance (GRC) are growing but form a small proportion of total cyber job openings.</w:t>
      </w:r>
      <w:bookmarkStart w:id="12" w:name="fnref7"/>
      <w:bookmarkStart w:id="13" w:name="fnref1_2"/>
      <w:bookmarkEnd w:id="12"/>
      <w:bookmarkEnd w:id="13"/>
      <w:r w:rsidR="00D8770E" w:rsidRPr="00584DD3">
        <w:rPr>
          <w:rFonts w:ascii="Aptos Display" w:hAnsi="Aptos Display"/>
          <w:sz w:val="24"/>
          <w:szCs w:val="24"/>
        </w:rPr>
        <w:t xml:space="preserve"> </w:t>
      </w:r>
    </w:p>
    <w:p w14:paraId="6614B7BA" w14:textId="0D38259B" w:rsidR="008E0FC5" w:rsidRPr="00584DD3" w:rsidRDefault="00000000" w:rsidP="00D8770E">
      <w:pPr>
        <w:numPr>
          <w:ilvl w:val="0"/>
          <w:numId w:val="2"/>
        </w:numPr>
        <w:spacing w:before="105" w:after="105" w:line="240" w:lineRule="auto"/>
        <w:rPr>
          <w:rFonts w:ascii="Aptos Display" w:hAnsi="Aptos Display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>Demand for policy talent is highest in government ministries, banking, telecoms, and regulated sectors, often requiring experience with legal frameworks, cross-border data governance, or international policy engagement.</w:t>
      </w:r>
      <w:bookmarkStart w:id="14" w:name="fnref1_3"/>
      <w:bookmarkEnd w:id="14"/>
      <w:r w:rsidR="00D8770E" w:rsidRPr="00584DD3">
        <w:rPr>
          <w:rFonts w:ascii="Aptos Display" w:hAnsi="Aptos Display"/>
          <w:sz w:val="24"/>
          <w:szCs w:val="24"/>
        </w:rPr>
        <w:t xml:space="preserve"> </w:t>
      </w:r>
    </w:p>
    <w:p w14:paraId="43D9536E" w14:textId="3E053D16" w:rsidR="008E0FC5" w:rsidRPr="00584DD3" w:rsidRDefault="00000000" w:rsidP="00D8770E">
      <w:pPr>
        <w:numPr>
          <w:ilvl w:val="0"/>
          <w:numId w:val="2"/>
        </w:numPr>
        <w:spacing w:before="105" w:after="105" w:line="240" w:lineRule="auto"/>
        <w:rPr>
          <w:rFonts w:ascii="Aptos Display" w:hAnsi="Aptos Display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 xml:space="preserve">Singapore leads the region in mature policy job infrastructure, followed by Malaysia and emerging demand in Indonesia, Vietnam, and Thailand as governments introduce or update </w:t>
      </w:r>
      <w:proofErr w:type="spellStart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>cyber crime</w:t>
      </w:r>
      <w:proofErr w:type="spellEnd"/>
      <w:r w:rsidRPr="00584DD3">
        <w:rPr>
          <w:rFonts w:ascii="Aptos Display" w:eastAsia="inter" w:hAnsi="Aptos Display" w:cs="inter"/>
          <w:color w:val="000000"/>
          <w:sz w:val="24"/>
          <w:szCs w:val="24"/>
        </w:rPr>
        <w:t>, privacy, and data sovereignty laws.</w:t>
      </w:r>
      <w:bookmarkStart w:id="15" w:name="fnref2_1"/>
      <w:bookmarkEnd w:id="15"/>
      <w:r w:rsidR="00D8770E" w:rsidRPr="00584DD3">
        <w:rPr>
          <w:rFonts w:ascii="Aptos Display" w:hAnsi="Aptos Display"/>
          <w:sz w:val="24"/>
          <w:szCs w:val="24"/>
        </w:rPr>
        <w:t xml:space="preserve"> </w:t>
      </w:r>
    </w:p>
    <w:p w14:paraId="03627C48" w14:textId="718222DB" w:rsidR="008E0FC5" w:rsidRPr="00584DD3" w:rsidRDefault="00000000" w:rsidP="00D8770E">
      <w:pPr>
        <w:numPr>
          <w:ilvl w:val="0"/>
          <w:numId w:val="2"/>
        </w:numPr>
        <w:spacing w:before="105" w:after="105" w:line="240" w:lineRule="auto"/>
        <w:rPr>
          <w:rFonts w:ascii="Aptos Display" w:hAnsi="Aptos Display"/>
          <w:sz w:val="24"/>
          <w:szCs w:val="24"/>
        </w:rPr>
      </w:pPr>
      <w:r w:rsidRPr="00584DD3">
        <w:rPr>
          <w:rFonts w:ascii="Aptos Display" w:eastAsia="inter" w:hAnsi="Aptos Display" w:cs="inter"/>
          <w:color w:val="000000"/>
          <w:sz w:val="24"/>
          <w:szCs w:val="24"/>
        </w:rPr>
        <w:t>There remains a significant skills gap for professionals who can bridge technical, legal, and strategic domains—most policy roles target mid-career professionals.</w:t>
      </w:r>
      <w:bookmarkStart w:id="16" w:name="fnref3_3"/>
      <w:bookmarkStart w:id="17" w:name="fnref1_4"/>
      <w:bookmarkEnd w:id="16"/>
      <w:bookmarkEnd w:id="17"/>
      <w:r w:rsidR="00D8770E" w:rsidRPr="00584DD3">
        <w:rPr>
          <w:rFonts w:ascii="Aptos Display" w:hAnsi="Aptos Display"/>
          <w:sz w:val="24"/>
          <w:szCs w:val="24"/>
        </w:rPr>
        <w:t xml:space="preserve"> </w:t>
      </w:r>
    </w:p>
    <w:p w14:paraId="7446770C" w14:textId="51FFD794" w:rsidR="008E0FC5" w:rsidRPr="00584DD3" w:rsidRDefault="00000000" w:rsidP="00D8770E">
      <w:pPr>
        <w:spacing w:before="315" w:after="105" w:line="240" w:lineRule="auto"/>
        <w:ind w:left="-30"/>
        <w:rPr>
          <w:rFonts w:ascii="Aptos Display" w:hAnsi="Aptos Display"/>
          <w:sz w:val="24"/>
          <w:szCs w:val="24"/>
        </w:rPr>
      </w:pPr>
      <w:bookmarkStart w:id="18" w:name="market_comparison"/>
      <w:r w:rsidRPr="00584DD3">
        <w:rPr>
          <w:rFonts w:ascii="Aptos Display" w:eastAsia="inter" w:hAnsi="Aptos Display" w:cs="inter"/>
          <w:b/>
          <w:color w:val="000000"/>
          <w:sz w:val="24"/>
          <w:szCs w:val="24"/>
        </w:rPr>
        <w:t>Market Comparison</w:t>
      </w:r>
      <w:bookmarkEnd w:id="18"/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64"/>
        <w:gridCol w:w="2160"/>
        <w:gridCol w:w="3007"/>
        <w:gridCol w:w="1824"/>
      </w:tblGrid>
      <w:tr w:rsidR="008E0FC5" w:rsidRPr="00D8770E" w14:paraId="40DBA180" w14:textId="77777777" w:rsidTr="00D8770E">
        <w:trPr>
          <w:cantSplit/>
          <w:tblCellSpacing w:w="0" w:type="dxa"/>
          <w:jc w:val="center"/>
        </w:trPr>
        <w:tc>
          <w:tcPr>
            <w:tcW w:w="0" w:type="auto"/>
          </w:tcPr>
          <w:p w14:paraId="4E51FD98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Role Type</w:t>
            </w:r>
          </w:p>
        </w:tc>
        <w:tc>
          <w:tcPr>
            <w:tcW w:w="0" w:type="auto"/>
          </w:tcPr>
          <w:p w14:paraId="3A7AA256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Market Size</w:t>
            </w:r>
          </w:p>
        </w:tc>
        <w:tc>
          <w:tcPr>
            <w:tcW w:w="0" w:type="auto"/>
          </w:tcPr>
          <w:p w14:paraId="0DB28939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Growth &amp; Opportunity</w:t>
            </w:r>
          </w:p>
        </w:tc>
        <w:tc>
          <w:tcPr>
            <w:tcW w:w="0" w:type="auto"/>
          </w:tcPr>
          <w:p w14:paraId="15470A3B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Typical Employers</w:t>
            </w:r>
          </w:p>
        </w:tc>
        <w:tc>
          <w:tcPr>
            <w:tcW w:w="0" w:type="auto"/>
          </w:tcPr>
          <w:p w14:paraId="61602796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Entry Routes</w:t>
            </w:r>
          </w:p>
        </w:tc>
      </w:tr>
      <w:tr w:rsidR="008E0FC5" w:rsidRPr="00D8770E" w14:paraId="78D6CDFA" w14:textId="77777777" w:rsidTr="00D8770E">
        <w:trPr>
          <w:cantSplit/>
          <w:tblCellSpacing w:w="0" w:type="dxa"/>
          <w:jc w:val="center"/>
        </w:trPr>
        <w:tc>
          <w:tcPr>
            <w:tcW w:w="0" w:type="auto"/>
          </w:tcPr>
          <w:p w14:paraId="44CF7694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Technical</w:t>
            </w:r>
          </w:p>
        </w:tc>
        <w:tc>
          <w:tcPr>
            <w:tcW w:w="0" w:type="auto"/>
          </w:tcPr>
          <w:p w14:paraId="6604E5C1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Much larger</w:t>
            </w:r>
          </w:p>
        </w:tc>
        <w:tc>
          <w:tcPr>
            <w:tcW w:w="0" w:type="auto"/>
          </w:tcPr>
          <w:p w14:paraId="64EEFCB8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Fastest, huge demand for skills</w:t>
            </w:r>
          </w:p>
        </w:tc>
        <w:tc>
          <w:tcPr>
            <w:tcW w:w="0" w:type="auto"/>
          </w:tcPr>
          <w:p w14:paraId="3F62165B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All sectors, SOC/BFSI/tech firms</w:t>
            </w:r>
          </w:p>
        </w:tc>
        <w:tc>
          <w:tcPr>
            <w:tcW w:w="0" w:type="auto"/>
          </w:tcPr>
          <w:p w14:paraId="31007009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Bootcamps, academics</w:t>
            </w:r>
          </w:p>
        </w:tc>
      </w:tr>
      <w:tr w:rsidR="008E0FC5" w:rsidRPr="00D8770E" w14:paraId="4A092A4B" w14:textId="77777777" w:rsidTr="00D8770E">
        <w:trPr>
          <w:cantSplit/>
          <w:tblCellSpacing w:w="0" w:type="dxa"/>
          <w:jc w:val="center"/>
        </w:trPr>
        <w:tc>
          <w:tcPr>
            <w:tcW w:w="0" w:type="auto"/>
          </w:tcPr>
          <w:p w14:paraId="63A8DF50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Cyber Policy</w:t>
            </w:r>
          </w:p>
        </w:tc>
        <w:tc>
          <w:tcPr>
            <w:tcW w:w="0" w:type="auto"/>
          </w:tcPr>
          <w:p w14:paraId="608BE4B1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Small but rising</w:t>
            </w:r>
          </w:p>
        </w:tc>
        <w:tc>
          <w:tcPr>
            <w:tcW w:w="0" w:type="auto"/>
          </w:tcPr>
          <w:p w14:paraId="71D131F7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Moderate growth, higher impact</w:t>
            </w:r>
          </w:p>
        </w:tc>
        <w:tc>
          <w:tcPr>
            <w:tcW w:w="0" w:type="auto"/>
          </w:tcPr>
          <w:p w14:paraId="0176BE81" w14:textId="488B62F9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Govt/finance/tel</w:t>
            </w:r>
            <w:r w:rsidR="00645051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e</w:t>
            </w: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com/regulators</w:t>
            </w:r>
          </w:p>
        </w:tc>
        <w:tc>
          <w:tcPr>
            <w:tcW w:w="0" w:type="auto"/>
          </w:tcPr>
          <w:p w14:paraId="43771263" w14:textId="77777777" w:rsidR="008E0FC5" w:rsidRPr="00D8770E" w:rsidRDefault="00000000" w:rsidP="00D8770E">
            <w:pPr>
              <w:rPr>
                <w:rFonts w:ascii="Aptos Display" w:hAnsi="Aptos Display"/>
                <w:sz w:val="20"/>
                <w:szCs w:val="20"/>
              </w:rPr>
            </w:pPr>
            <w:r w:rsidRPr="00D8770E">
              <w:rPr>
                <w:rFonts w:ascii="Aptos Display" w:eastAsia="inter" w:hAnsi="Aptos Display" w:cs="inter"/>
                <w:color w:val="000000"/>
                <w:sz w:val="20"/>
                <w:szCs w:val="20"/>
              </w:rPr>
              <w:t>Law, policy, GRC pros</w:t>
            </w:r>
          </w:p>
        </w:tc>
      </w:tr>
    </w:tbl>
    <w:p w14:paraId="5CA86BBE" w14:textId="77777777" w:rsidR="008E0FC5" w:rsidRDefault="008E0FC5" w:rsidP="00D8770E">
      <w:pPr>
        <w:spacing w:line="240" w:lineRule="auto"/>
      </w:pPr>
    </w:p>
    <w:p w14:paraId="14725082" w14:textId="7DD07B5B" w:rsidR="00D8770E" w:rsidRPr="00D8770E" w:rsidRDefault="00D8770E" w:rsidP="00D8770E">
      <w:pPr>
        <w:spacing w:before="157" w:after="157" w:line="240" w:lineRule="auto"/>
        <w:rPr>
          <w:rFonts w:asciiTheme="majorHAnsi" w:hAnsiTheme="majorHAnsi"/>
          <w:sz w:val="24"/>
          <w:szCs w:val="24"/>
        </w:rPr>
      </w:pPr>
      <w:bookmarkStart w:id="19" w:name="who_are_the_top_ten_cyber_policy_223e67"/>
      <w:r w:rsidRPr="00D8770E">
        <w:rPr>
          <w:rFonts w:asciiTheme="majorHAnsi" w:eastAsia="inter" w:hAnsiTheme="majorHAnsi" w:cs="inter"/>
          <w:b/>
          <w:color w:val="000000"/>
          <w:sz w:val="24"/>
          <w:szCs w:val="24"/>
        </w:rPr>
        <w:lastRenderedPageBreak/>
        <w:t xml:space="preserve">Top Ten Cyber Policy Employers </w:t>
      </w:r>
      <w:r>
        <w:rPr>
          <w:rFonts w:asciiTheme="majorHAnsi" w:eastAsia="inter" w:hAnsiTheme="majorHAnsi" w:cs="inter"/>
          <w:b/>
          <w:color w:val="000000"/>
          <w:sz w:val="24"/>
          <w:szCs w:val="24"/>
        </w:rPr>
        <w:t>i</w:t>
      </w:r>
      <w:r w:rsidRPr="00D8770E">
        <w:rPr>
          <w:rFonts w:asciiTheme="majorHAnsi" w:eastAsia="inter" w:hAnsiTheme="majorHAnsi" w:cs="inter"/>
          <w:b/>
          <w:color w:val="000000"/>
          <w:sz w:val="24"/>
          <w:szCs w:val="24"/>
        </w:rPr>
        <w:t xml:space="preserve">n </w:t>
      </w:r>
      <w:r w:rsidRPr="00D8770E">
        <w:rPr>
          <w:rFonts w:asciiTheme="majorHAnsi" w:eastAsia="inter" w:hAnsiTheme="majorHAnsi" w:cs="inter"/>
          <w:b/>
          <w:color w:val="000000"/>
          <w:sz w:val="24"/>
          <w:szCs w:val="24"/>
        </w:rPr>
        <w:t xml:space="preserve">Southeast </w:t>
      </w:r>
      <w:r w:rsidRPr="00D8770E">
        <w:rPr>
          <w:rFonts w:asciiTheme="majorHAnsi" w:eastAsia="inter" w:hAnsiTheme="majorHAnsi" w:cs="inter"/>
          <w:b/>
          <w:color w:val="000000"/>
          <w:sz w:val="24"/>
          <w:szCs w:val="24"/>
        </w:rPr>
        <w:t>Asia</w:t>
      </w:r>
      <w:bookmarkEnd w:id="19"/>
    </w:p>
    <w:p w14:paraId="008744ED" w14:textId="7D918408" w:rsidR="00D8770E" w:rsidRDefault="00D8770E" w:rsidP="00D8770E">
      <w:pPr>
        <w:spacing w:after="210" w:line="240" w:lineRule="auto"/>
      </w:pPr>
      <w:r>
        <w:rPr>
          <w:rFonts w:ascii="inter" w:eastAsia="inter" w:hAnsi="inter" w:cs="inter"/>
          <w:color w:val="000000"/>
        </w:rPr>
        <w:t xml:space="preserve">The top ten cyber policy employers in Southeast Asia include a mix of government agencies at the national level, major banks, regulatory bodies, and global professional/consulting firms with large regional GRC (governance, risk, compliance) teams. These </w:t>
      </w:r>
      <w:proofErr w:type="spellStart"/>
      <w:r>
        <w:rPr>
          <w:rFonts w:ascii="inter" w:eastAsia="inter" w:hAnsi="inter" w:cs="inter"/>
          <w:color w:val="000000"/>
        </w:rPr>
        <w:t>organisations</w:t>
      </w:r>
      <w:proofErr w:type="spellEnd"/>
      <w:r>
        <w:rPr>
          <w:rFonts w:ascii="inter" w:eastAsia="inter" w:hAnsi="inter" w:cs="inter"/>
          <w:color w:val="000000"/>
        </w:rPr>
        <w:t xml:space="preserve"> lead cyber policy hiring due to their critical role in national digital regulation, compliance, and cybersecurity strategy.</w:t>
      </w:r>
    </w:p>
    <w:p w14:paraId="26700121" w14:textId="77777777" w:rsidR="00D8770E" w:rsidRPr="00D8770E" w:rsidRDefault="00D8770E" w:rsidP="00D8770E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Cyber Security Agency of Singapore (CSA)</w:t>
      </w:r>
    </w:p>
    <w:p w14:paraId="60322C26" w14:textId="7B59A09A" w:rsidR="00D8770E" w:rsidRPr="00D8770E" w:rsidRDefault="00D8770E" w:rsidP="00D8770E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Monetary Authority of Singapore (MAS)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Regional leader in cyber policy/regulation for finance and payments sectors, influencing broader ASEAN practice.</w:t>
      </w:r>
      <w:r w:rsidRPr="00D8770E">
        <w:rPr>
          <w:rFonts w:ascii="Aptos Display" w:hAnsi="Aptos Display"/>
          <w:bCs/>
          <w:sz w:val="24"/>
          <w:szCs w:val="24"/>
        </w:rPr>
        <w:t xml:space="preserve"> </w:t>
      </w:r>
    </w:p>
    <w:p w14:paraId="1B97A63F" w14:textId="61BBBBAE" w:rsidR="00D8770E" w:rsidRPr="00D8770E" w:rsidRDefault="00D8770E" w:rsidP="00D8770E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National Cyber and Crypto Agency (BSSN), Indonesia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The core Indonesian government agency for national cyber policy, strategy, and incident coordination.</w:t>
      </w:r>
      <w:bookmarkStart w:id="20" w:name="fnref2_2"/>
      <w:bookmarkEnd w:id="20"/>
      <w:r w:rsidRPr="00D8770E">
        <w:rPr>
          <w:rFonts w:ascii="Aptos Display" w:hAnsi="Aptos Display"/>
          <w:bCs/>
          <w:sz w:val="24"/>
          <w:szCs w:val="24"/>
        </w:rPr>
        <w:t xml:space="preserve"> </w:t>
      </w:r>
    </w:p>
    <w:p w14:paraId="39C8F5A8" w14:textId="44D33000" w:rsidR="00D8770E" w:rsidRPr="00D8770E" w:rsidRDefault="00D8770E" w:rsidP="00D8770E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Bank Negara Malaysia (Central Bank) &amp; National Cyber Security Agency (NACSA)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>
        <w:rPr>
          <w:rFonts w:ascii="Aptos Display" w:eastAsia="inter" w:hAnsi="Aptos Display" w:cs="inter"/>
          <w:bCs/>
          <w:color w:val="000000"/>
          <w:sz w:val="24"/>
          <w:szCs w:val="24"/>
        </w:rPr>
        <w:t>l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ead Malaysia’s cyber policy, compliance standards, and industry frameworks.</w:t>
      </w:r>
      <w:bookmarkStart w:id="21" w:name="fnref2_3"/>
      <w:bookmarkEnd w:id="21"/>
      <w:r w:rsidRPr="00D8770E">
        <w:rPr>
          <w:rFonts w:ascii="Aptos Display" w:hAnsi="Aptos Display"/>
          <w:bCs/>
          <w:sz w:val="24"/>
          <w:szCs w:val="24"/>
        </w:rPr>
        <w:t xml:space="preserve"> </w:t>
      </w:r>
    </w:p>
    <w:p w14:paraId="254673C5" w14:textId="152D6032" w:rsidR="00D8770E" w:rsidRPr="00D8770E" w:rsidRDefault="00D8770E" w:rsidP="00D8770E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Department of Information and Communications Technology (DICT), Philippines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>
        <w:rPr>
          <w:rFonts w:ascii="Aptos Display" w:eastAsia="inter" w:hAnsi="Aptos Display" w:cs="inter"/>
          <w:bCs/>
          <w:color w:val="000000"/>
          <w:sz w:val="24"/>
          <w:szCs w:val="24"/>
        </w:rPr>
        <w:t>d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rives cyber policy, data protection, and regulatory frameworks in the Philippines.</w:t>
      </w:r>
      <w:bookmarkStart w:id="22" w:name="fnref2_4"/>
      <w:bookmarkEnd w:id="22"/>
      <w:r w:rsidRPr="00D8770E">
        <w:rPr>
          <w:rFonts w:ascii="Aptos Display" w:hAnsi="Aptos Display"/>
          <w:bCs/>
          <w:sz w:val="24"/>
          <w:szCs w:val="24"/>
        </w:rPr>
        <w:t xml:space="preserve"> </w:t>
      </w:r>
    </w:p>
    <w:p w14:paraId="54A1DA2E" w14:textId="2C4A4B34" w:rsidR="00D8770E" w:rsidRPr="00D8770E" w:rsidRDefault="00D8770E" w:rsidP="00645051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Major Singaporean Banks (DBS, UOB, OCBC)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>
        <w:rPr>
          <w:rFonts w:ascii="Aptos Display" w:eastAsia="inter" w:hAnsi="Aptos Display" w:cs="inter"/>
          <w:bCs/>
          <w:color w:val="000000"/>
          <w:sz w:val="24"/>
          <w:szCs w:val="24"/>
        </w:rPr>
        <w:t>a</w:t>
      </w:r>
      <w:r w:rsidRPr="00D8770E">
        <w:rPr>
          <w:rFonts w:ascii="Aptos Display" w:eastAsia="inter" w:hAnsi="Aptos Display" w:cs="inter"/>
          <w:bCs/>
          <w:color w:val="000000"/>
          <w:sz w:val="24"/>
          <w:szCs w:val="24"/>
        </w:rPr>
        <w:t>ll employ in-house cyber policy, compliance, and risk officers at scale due to regulatory requirements.</w:t>
      </w:r>
      <w:r w:rsidRPr="00D8770E">
        <w:rPr>
          <w:rFonts w:ascii="Aptos Display" w:hAnsi="Aptos Display"/>
          <w:bCs/>
          <w:sz w:val="24"/>
          <w:szCs w:val="24"/>
        </w:rPr>
        <w:t xml:space="preserve"> </w:t>
      </w:r>
    </w:p>
    <w:p w14:paraId="7962420B" w14:textId="03807F89" w:rsidR="00D8770E" w:rsidRPr="00645051" w:rsidRDefault="00D8770E" w:rsidP="00645051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Maybank (Malaysia)</w:t>
      </w:r>
      <w:r w:rsidR="00645051"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One of the region’s largest banks, strong internal cyber policy and GRC teams.</w:t>
      </w:r>
      <w:r w:rsidR="00645051" w:rsidRPr="00645051">
        <w:rPr>
          <w:rFonts w:ascii="Aptos Display" w:hAnsi="Aptos Display"/>
          <w:bCs/>
          <w:sz w:val="24"/>
          <w:szCs w:val="24"/>
        </w:rPr>
        <w:t xml:space="preserve"> </w:t>
      </w:r>
    </w:p>
    <w:p w14:paraId="3135A9EF" w14:textId="1B38ED6A" w:rsidR="00D8770E" w:rsidRPr="00645051" w:rsidRDefault="00D8770E" w:rsidP="00645051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Telekom Malaysia/Bangkok Bank/Bank </w:t>
      </w:r>
      <w:proofErr w:type="spellStart"/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Mandiri</w:t>
      </w:r>
      <w:proofErr w:type="spellEnd"/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 (Indonesia)</w:t>
      </w:r>
      <w:r w:rsidR="00645051"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Critical infrastructure employers subject to new cyber law, hiring policy and compliance specialists.</w:t>
      </w:r>
    </w:p>
    <w:p w14:paraId="0A13FFAC" w14:textId="3E5711B4" w:rsidR="00D8770E" w:rsidRDefault="00D8770E" w:rsidP="00645051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Deloitte and Accenture (Southeast Asia)</w:t>
      </w:r>
      <w:r w:rsidR="00645051"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Global consulting firms with large GRC, policy strategy, and cyber compliance consulting teams serving both public and private sectors.</w:t>
      </w:r>
      <w:r w:rsidR="00645051" w:rsidRPr="00645051">
        <w:rPr>
          <w:rFonts w:ascii="Aptos Display" w:hAnsi="Aptos Display"/>
          <w:bCs/>
          <w:sz w:val="24"/>
          <w:szCs w:val="24"/>
        </w:rPr>
        <w:t xml:space="preserve"> </w:t>
      </w:r>
    </w:p>
    <w:p w14:paraId="19C7B5AF" w14:textId="1334080E" w:rsidR="00D8770E" w:rsidRPr="00645051" w:rsidRDefault="00D8770E" w:rsidP="00645051">
      <w:pPr>
        <w:numPr>
          <w:ilvl w:val="0"/>
          <w:numId w:val="5"/>
        </w:numPr>
        <w:spacing w:after="0" w:line="240" w:lineRule="auto"/>
        <w:rPr>
          <w:rFonts w:ascii="Aptos Display" w:hAnsi="Aptos Display"/>
          <w:bCs/>
          <w:sz w:val="24"/>
          <w:szCs w:val="24"/>
        </w:rPr>
      </w:pP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ASEAN CERT (Security Operations Centre) and ASEAN Secretariat</w:t>
      </w:r>
      <w:r w:rsidR="00645051"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 xml:space="preserve">, </w:t>
      </w:r>
      <w:r w:rsidRPr="00645051">
        <w:rPr>
          <w:rFonts w:ascii="Aptos Display" w:eastAsia="inter" w:hAnsi="Aptos Display" w:cs="inter"/>
          <w:bCs/>
          <w:color w:val="000000"/>
          <w:sz w:val="24"/>
          <w:szCs w:val="24"/>
        </w:rPr>
        <w:t>Regional policy coordination and capacity-building body, increasingly active in cyber norms and cross-border policy initiatives.</w:t>
      </w:r>
      <w:r w:rsidR="00645051" w:rsidRPr="00645051">
        <w:rPr>
          <w:rFonts w:ascii="Aptos Display" w:hAnsi="Aptos Display"/>
          <w:bCs/>
          <w:sz w:val="24"/>
          <w:szCs w:val="24"/>
        </w:rPr>
        <w:t xml:space="preserve"> </w:t>
      </w:r>
    </w:p>
    <w:p w14:paraId="133B66A0" w14:textId="77777777" w:rsidR="00D8770E" w:rsidRDefault="00D8770E" w:rsidP="00D8770E">
      <w:pPr>
        <w:spacing w:after="210" w:line="240" w:lineRule="auto"/>
        <w:rPr>
          <w:rFonts w:ascii="inter" w:eastAsia="inter" w:hAnsi="inter" w:cs="inter"/>
          <w:color w:val="000000"/>
        </w:rPr>
      </w:pPr>
    </w:p>
    <w:sectPr w:rsidR="00D8770E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FF3"/>
    <w:multiLevelType w:val="hybridMultilevel"/>
    <w:tmpl w:val="4374106E"/>
    <w:lvl w:ilvl="0" w:tplc="D024ADD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226384">
      <w:numFmt w:val="decimal"/>
      <w:lvlText w:val=""/>
      <w:lvlJc w:val="left"/>
    </w:lvl>
    <w:lvl w:ilvl="2" w:tplc="4BCE7292">
      <w:numFmt w:val="decimal"/>
      <w:lvlText w:val=""/>
      <w:lvlJc w:val="left"/>
    </w:lvl>
    <w:lvl w:ilvl="3" w:tplc="CBAE7646">
      <w:numFmt w:val="decimal"/>
      <w:lvlText w:val=""/>
      <w:lvlJc w:val="left"/>
    </w:lvl>
    <w:lvl w:ilvl="4" w:tplc="C4C41246">
      <w:numFmt w:val="decimal"/>
      <w:lvlText w:val=""/>
      <w:lvlJc w:val="left"/>
    </w:lvl>
    <w:lvl w:ilvl="5" w:tplc="821E33F2">
      <w:numFmt w:val="decimal"/>
      <w:lvlText w:val=""/>
      <w:lvlJc w:val="left"/>
    </w:lvl>
    <w:lvl w:ilvl="6" w:tplc="17F44CF2">
      <w:numFmt w:val="decimal"/>
      <w:lvlText w:val=""/>
      <w:lvlJc w:val="left"/>
    </w:lvl>
    <w:lvl w:ilvl="7" w:tplc="457AD5B2">
      <w:numFmt w:val="decimal"/>
      <w:lvlText w:val=""/>
      <w:lvlJc w:val="left"/>
    </w:lvl>
    <w:lvl w:ilvl="8" w:tplc="85C666D2">
      <w:numFmt w:val="decimal"/>
      <w:lvlText w:val=""/>
      <w:lvlJc w:val="left"/>
    </w:lvl>
  </w:abstractNum>
  <w:abstractNum w:abstractNumId="1" w15:restartNumberingAfterBreak="0">
    <w:nsid w:val="1C924E81"/>
    <w:multiLevelType w:val="hybridMultilevel"/>
    <w:tmpl w:val="CB0E64B0"/>
    <w:lvl w:ilvl="0" w:tplc="1EBC61E4">
      <w:numFmt w:val="decimal"/>
      <w:lvlText w:val=""/>
      <w:lvlJc w:val="left"/>
    </w:lvl>
    <w:lvl w:ilvl="1" w:tplc="C0864726">
      <w:numFmt w:val="decimal"/>
      <w:lvlText w:val=""/>
      <w:lvlJc w:val="left"/>
    </w:lvl>
    <w:lvl w:ilvl="2" w:tplc="DCE85B8A">
      <w:numFmt w:val="decimal"/>
      <w:lvlText w:val=""/>
      <w:lvlJc w:val="left"/>
    </w:lvl>
    <w:lvl w:ilvl="3" w:tplc="2ECEFAA6">
      <w:numFmt w:val="decimal"/>
      <w:lvlText w:val=""/>
      <w:lvlJc w:val="left"/>
    </w:lvl>
    <w:lvl w:ilvl="4" w:tplc="4E127BD0">
      <w:numFmt w:val="decimal"/>
      <w:lvlText w:val=""/>
      <w:lvlJc w:val="left"/>
    </w:lvl>
    <w:lvl w:ilvl="5" w:tplc="65D05804">
      <w:numFmt w:val="decimal"/>
      <w:lvlText w:val=""/>
      <w:lvlJc w:val="left"/>
    </w:lvl>
    <w:lvl w:ilvl="6" w:tplc="054C6F94">
      <w:numFmt w:val="decimal"/>
      <w:lvlText w:val=""/>
      <w:lvlJc w:val="left"/>
    </w:lvl>
    <w:lvl w:ilvl="7" w:tplc="0A48D74A">
      <w:numFmt w:val="decimal"/>
      <w:lvlText w:val=""/>
      <w:lvlJc w:val="left"/>
    </w:lvl>
    <w:lvl w:ilvl="8" w:tplc="AF88A31C">
      <w:numFmt w:val="decimal"/>
      <w:lvlText w:val=""/>
      <w:lvlJc w:val="left"/>
    </w:lvl>
  </w:abstractNum>
  <w:abstractNum w:abstractNumId="2" w15:restartNumberingAfterBreak="0">
    <w:nsid w:val="1CFF1543"/>
    <w:multiLevelType w:val="hybridMultilevel"/>
    <w:tmpl w:val="A862560C"/>
    <w:lvl w:ilvl="0" w:tplc="7618D4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A02415A">
      <w:numFmt w:val="decimal"/>
      <w:lvlText w:val=""/>
      <w:lvlJc w:val="left"/>
    </w:lvl>
    <w:lvl w:ilvl="2" w:tplc="A314A7F6">
      <w:numFmt w:val="decimal"/>
      <w:lvlText w:val=""/>
      <w:lvlJc w:val="left"/>
    </w:lvl>
    <w:lvl w:ilvl="3" w:tplc="FADA089E">
      <w:numFmt w:val="decimal"/>
      <w:lvlText w:val=""/>
      <w:lvlJc w:val="left"/>
    </w:lvl>
    <w:lvl w:ilvl="4" w:tplc="0CC4F524">
      <w:numFmt w:val="decimal"/>
      <w:lvlText w:val=""/>
      <w:lvlJc w:val="left"/>
    </w:lvl>
    <w:lvl w:ilvl="5" w:tplc="13FCE6B6">
      <w:numFmt w:val="decimal"/>
      <w:lvlText w:val=""/>
      <w:lvlJc w:val="left"/>
    </w:lvl>
    <w:lvl w:ilvl="6" w:tplc="5DBA0D9E">
      <w:numFmt w:val="decimal"/>
      <w:lvlText w:val=""/>
      <w:lvlJc w:val="left"/>
    </w:lvl>
    <w:lvl w:ilvl="7" w:tplc="B10A80EC">
      <w:numFmt w:val="decimal"/>
      <w:lvlText w:val=""/>
      <w:lvlJc w:val="left"/>
    </w:lvl>
    <w:lvl w:ilvl="8" w:tplc="4DF2AECC">
      <w:numFmt w:val="decimal"/>
      <w:lvlText w:val=""/>
      <w:lvlJc w:val="left"/>
    </w:lvl>
  </w:abstractNum>
  <w:abstractNum w:abstractNumId="3" w15:restartNumberingAfterBreak="0">
    <w:nsid w:val="203831E4"/>
    <w:multiLevelType w:val="hybridMultilevel"/>
    <w:tmpl w:val="84CAB38A"/>
    <w:lvl w:ilvl="0" w:tplc="6DA2787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48426AE">
      <w:numFmt w:val="decimal"/>
      <w:lvlText w:val=""/>
      <w:lvlJc w:val="left"/>
    </w:lvl>
    <w:lvl w:ilvl="2" w:tplc="43ACB280">
      <w:numFmt w:val="decimal"/>
      <w:lvlText w:val=""/>
      <w:lvlJc w:val="left"/>
    </w:lvl>
    <w:lvl w:ilvl="3" w:tplc="66ECC8E0">
      <w:numFmt w:val="decimal"/>
      <w:lvlText w:val=""/>
      <w:lvlJc w:val="left"/>
    </w:lvl>
    <w:lvl w:ilvl="4" w:tplc="BADAB5EE">
      <w:numFmt w:val="decimal"/>
      <w:lvlText w:val=""/>
      <w:lvlJc w:val="left"/>
    </w:lvl>
    <w:lvl w:ilvl="5" w:tplc="F4E0C96A">
      <w:numFmt w:val="decimal"/>
      <w:lvlText w:val=""/>
      <w:lvlJc w:val="left"/>
    </w:lvl>
    <w:lvl w:ilvl="6" w:tplc="992A4D4A">
      <w:numFmt w:val="decimal"/>
      <w:lvlText w:val=""/>
      <w:lvlJc w:val="left"/>
    </w:lvl>
    <w:lvl w:ilvl="7" w:tplc="6D34CA82">
      <w:numFmt w:val="decimal"/>
      <w:lvlText w:val=""/>
      <w:lvlJc w:val="left"/>
    </w:lvl>
    <w:lvl w:ilvl="8" w:tplc="8850CEF6">
      <w:numFmt w:val="decimal"/>
      <w:lvlText w:val=""/>
      <w:lvlJc w:val="left"/>
    </w:lvl>
  </w:abstractNum>
  <w:abstractNum w:abstractNumId="4" w15:restartNumberingAfterBreak="0">
    <w:nsid w:val="4EC93A83"/>
    <w:multiLevelType w:val="hybridMultilevel"/>
    <w:tmpl w:val="09B26024"/>
    <w:lvl w:ilvl="0" w:tplc="BB0C6F9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B2C8FA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6E369816">
      <w:numFmt w:val="decimal"/>
      <w:lvlText w:val=""/>
      <w:lvlJc w:val="left"/>
    </w:lvl>
    <w:lvl w:ilvl="3" w:tplc="32B80FC8">
      <w:numFmt w:val="decimal"/>
      <w:lvlText w:val=""/>
      <w:lvlJc w:val="left"/>
    </w:lvl>
    <w:lvl w:ilvl="4" w:tplc="D91A3AE4">
      <w:numFmt w:val="decimal"/>
      <w:lvlText w:val=""/>
      <w:lvlJc w:val="left"/>
    </w:lvl>
    <w:lvl w:ilvl="5" w:tplc="B540053E">
      <w:numFmt w:val="decimal"/>
      <w:lvlText w:val=""/>
      <w:lvlJc w:val="left"/>
    </w:lvl>
    <w:lvl w:ilvl="6" w:tplc="753AA0F4">
      <w:numFmt w:val="decimal"/>
      <w:lvlText w:val=""/>
      <w:lvlJc w:val="left"/>
    </w:lvl>
    <w:lvl w:ilvl="7" w:tplc="44B42AD6">
      <w:numFmt w:val="decimal"/>
      <w:lvlText w:val=""/>
      <w:lvlJc w:val="left"/>
    </w:lvl>
    <w:lvl w:ilvl="8" w:tplc="DD3E4BD8">
      <w:numFmt w:val="decimal"/>
      <w:lvlText w:val=""/>
      <w:lvlJc w:val="left"/>
    </w:lvl>
  </w:abstractNum>
  <w:abstractNum w:abstractNumId="5" w15:restartNumberingAfterBreak="0">
    <w:nsid w:val="604F0E70"/>
    <w:multiLevelType w:val="hybridMultilevel"/>
    <w:tmpl w:val="3D8CA750"/>
    <w:lvl w:ilvl="0" w:tplc="27E6122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B70EEC6">
      <w:numFmt w:val="decimal"/>
      <w:lvlText w:val=""/>
      <w:lvlJc w:val="left"/>
    </w:lvl>
    <w:lvl w:ilvl="2" w:tplc="C638D568">
      <w:numFmt w:val="decimal"/>
      <w:lvlText w:val=""/>
      <w:lvlJc w:val="left"/>
    </w:lvl>
    <w:lvl w:ilvl="3" w:tplc="754A2A5C">
      <w:numFmt w:val="decimal"/>
      <w:lvlText w:val=""/>
      <w:lvlJc w:val="left"/>
    </w:lvl>
    <w:lvl w:ilvl="4" w:tplc="72408B96">
      <w:numFmt w:val="decimal"/>
      <w:lvlText w:val=""/>
      <w:lvlJc w:val="left"/>
    </w:lvl>
    <w:lvl w:ilvl="5" w:tplc="80EC4200">
      <w:numFmt w:val="decimal"/>
      <w:lvlText w:val=""/>
      <w:lvlJc w:val="left"/>
    </w:lvl>
    <w:lvl w:ilvl="6" w:tplc="839200E8">
      <w:numFmt w:val="decimal"/>
      <w:lvlText w:val=""/>
      <w:lvlJc w:val="left"/>
    </w:lvl>
    <w:lvl w:ilvl="7" w:tplc="0172BC6C">
      <w:numFmt w:val="decimal"/>
      <w:lvlText w:val=""/>
      <w:lvlJc w:val="left"/>
    </w:lvl>
    <w:lvl w:ilvl="8" w:tplc="23A866D8">
      <w:numFmt w:val="decimal"/>
      <w:lvlText w:val=""/>
      <w:lvlJc w:val="left"/>
    </w:lvl>
  </w:abstractNum>
  <w:abstractNum w:abstractNumId="6" w15:restartNumberingAfterBreak="0">
    <w:nsid w:val="6B8E748E"/>
    <w:multiLevelType w:val="hybridMultilevel"/>
    <w:tmpl w:val="5DE4693E"/>
    <w:lvl w:ilvl="0" w:tplc="FD52C2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E23624">
      <w:numFmt w:val="decimal"/>
      <w:lvlText w:val=""/>
      <w:lvlJc w:val="left"/>
    </w:lvl>
    <w:lvl w:ilvl="2" w:tplc="4DCC2160">
      <w:numFmt w:val="decimal"/>
      <w:lvlText w:val=""/>
      <w:lvlJc w:val="left"/>
    </w:lvl>
    <w:lvl w:ilvl="3" w:tplc="C00290C4">
      <w:numFmt w:val="decimal"/>
      <w:lvlText w:val=""/>
      <w:lvlJc w:val="left"/>
    </w:lvl>
    <w:lvl w:ilvl="4" w:tplc="1F369CAE">
      <w:numFmt w:val="decimal"/>
      <w:lvlText w:val=""/>
      <w:lvlJc w:val="left"/>
    </w:lvl>
    <w:lvl w:ilvl="5" w:tplc="301C1E92">
      <w:numFmt w:val="decimal"/>
      <w:lvlText w:val=""/>
      <w:lvlJc w:val="left"/>
    </w:lvl>
    <w:lvl w:ilvl="6" w:tplc="1EF4BDB8">
      <w:numFmt w:val="decimal"/>
      <w:lvlText w:val=""/>
      <w:lvlJc w:val="left"/>
    </w:lvl>
    <w:lvl w:ilvl="7" w:tplc="C81A46DE">
      <w:numFmt w:val="decimal"/>
      <w:lvlText w:val=""/>
      <w:lvlJc w:val="left"/>
    </w:lvl>
    <w:lvl w:ilvl="8" w:tplc="3F9E0238">
      <w:numFmt w:val="decimal"/>
      <w:lvlText w:val=""/>
      <w:lvlJc w:val="left"/>
    </w:lvl>
  </w:abstractNum>
  <w:num w:numId="1" w16cid:durableId="559902610">
    <w:abstractNumId w:val="2"/>
  </w:num>
  <w:num w:numId="2" w16cid:durableId="1464074739">
    <w:abstractNumId w:val="0"/>
  </w:num>
  <w:num w:numId="3" w16cid:durableId="77992084">
    <w:abstractNumId w:val="1"/>
  </w:num>
  <w:num w:numId="4" w16cid:durableId="546338003">
    <w:abstractNumId w:val="5"/>
  </w:num>
  <w:num w:numId="5" w16cid:durableId="904412057">
    <w:abstractNumId w:val="4"/>
  </w:num>
  <w:num w:numId="6" w16cid:durableId="262811666">
    <w:abstractNumId w:val="6"/>
  </w:num>
  <w:num w:numId="7" w16cid:durableId="895549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C5"/>
    <w:rsid w:val="00584DD3"/>
    <w:rsid w:val="00645051"/>
    <w:rsid w:val="007D6355"/>
    <w:rsid w:val="008E0FC5"/>
    <w:rsid w:val="008F42CC"/>
    <w:rsid w:val="00D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F06B"/>
  <w15:docId w15:val="{26D61471-9CD0-434D-B43D-EF6829E9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3882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Greg Austin</cp:lastModifiedBy>
  <cp:revision>4</cp:revision>
  <dcterms:created xsi:type="dcterms:W3CDTF">2025-10-08T21:38:00Z</dcterms:created>
  <dcterms:modified xsi:type="dcterms:W3CDTF">2025-10-08T21:50:00Z</dcterms:modified>
</cp:coreProperties>
</file>